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tblpPr w:leftFromText="180" w:rightFromText="180" w:vertAnchor="text" w:tblpY="-19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077"/>
        <w:gridCol w:w="1902"/>
        <w:gridCol w:w="3328"/>
      </w:tblGrid>
      <w:tr w:rsidR="00B02C76" w:rsidRPr="00FA4EAF" w:rsidTr="007F09CE">
        <w:trPr>
          <w:trHeight w:val="295"/>
        </w:trPr>
        <w:tc>
          <w:tcPr>
            <w:tcW w:w="4979" w:type="dxa"/>
            <w:gridSpan w:val="2"/>
          </w:tcPr>
          <w:p w:rsidR="00B02C76" w:rsidRPr="00FA4EAF" w:rsidRDefault="00B02C76" w:rsidP="00B02C76">
            <w:pPr>
              <w:rPr>
                <w:rFonts w:ascii="Arial" w:hAnsi="Arial"/>
                <w:b/>
                <w:bCs/>
                <w:noProof w:val="0"/>
                <w:sz w:val="26"/>
                <w:szCs w:val="26"/>
                <w:rtl/>
              </w:rPr>
            </w:pPr>
          </w:p>
        </w:tc>
        <w:tc>
          <w:tcPr>
            <w:tcW w:w="3328" w:type="dxa"/>
          </w:tcPr>
          <w:p w:rsidR="00B02C76" w:rsidRPr="00FA4EAF" w:rsidRDefault="008924AB" w:rsidP="00A03128">
            <w:pPr>
              <w:jc w:val="right"/>
              <w:rPr>
                <w:rFonts w:ascii="Arial" w:hAnsi="Arial"/>
                <w:b/>
                <w:bCs/>
                <w:noProof w:val="0"/>
                <w:sz w:val="26"/>
                <w:szCs w:val="26"/>
                <w:rtl/>
              </w:rPr>
            </w:pPr>
            <w:r>
              <w:rPr>
                <w:rFonts w:hint="cs"/>
                <w:sz w:val="26"/>
                <w:szCs w:val="26"/>
                <w:rtl/>
              </w:rPr>
              <w:t xml:space="preserve"> </w:t>
            </w:r>
          </w:p>
        </w:tc>
      </w:tr>
      <w:tr w:rsidR="00B02C76" w:rsidRPr="00FA4EAF" w:rsidTr="007F09CE">
        <w:tc>
          <w:tcPr>
            <w:tcW w:w="8307" w:type="dxa"/>
            <w:gridSpan w:val="3"/>
          </w:tcPr>
          <w:p w:rsidR="00B02C76" w:rsidRDefault="00B02C76" w:rsidP="00B02C76">
            <w:pPr>
              <w:jc w:val="both"/>
              <w:rPr>
                <w:rFonts w:ascii="Arial" w:hAnsi="Arial"/>
                <w:b/>
                <w:bCs/>
                <w:sz w:val="26"/>
                <w:szCs w:val="26"/>
                <w:rtl/>
              </w:rPr>
            </w:pPr>
            <w:r>
              <w:rPr>
                <w:rFonts w:ascii="Arial" w:hAnsi="Arial" w:hint="cs"/>
                <w:b/>
                <w:bCs/>
                <w:sz w:val="26"/>
                <w:szCs w:val="26"/>
                <w:rtl/>
              </w:rPr>
              <w:t>ל</w:t>
            </w:r>
            <w:r>
              <w:rPr>
                <w:rFonts w:ascii="Arial" w:hAnsi="Arial"/>
                <w:b/>
                <w:bCs/>
                <w:sz w:val="26"/>
                <w:szCs w:val="26"/>
                <w:rtl/>
              </w:rPr>
              <w:t>פני</w:t>
            </w:r>
            <w:r>
              <w:rPr>
                <w:rFonts w:ascii="Arial" w:hAnsi="Arial" w:hint="cs"/>
                <w:b/>
                <w:bCs/>
                <w:sz w:val="26"/>
                <w:szCs w:val="26"/>
                <w:rtl/>
              </w:rPr>
              <w:t xml:space="preserve"> </w:t>
            </w:r>
            <w:r w:rsidRPr="00FA4EAF">
              <w:rPr>
                <w:rFonts w:ascii="Arial" w:hAnsi="Arial" w:hint="cs"/>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w:t>
                </w:r>
              </w:sdtContent>
            </w:sdt>
            <w:r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אביים ברקאי</w:t>
                </w:r>
              </w:sdtContent>
            </w:sdt>
          </w:p>
          <w:p w:rsidR="008924AB" w:rsidRPr="00314311" w:rsidRDefault="008924AB" w:rsidP="00B02C76">
            <w:pPr>
              <w:jc w:val="both"/>
              <w:rPr>
                <w:rFonts w:ascii="Arial" w:hAnsi="Arial"/>
                <w:b/>
                <w:bCs/>
                <w:sz w:val="26"/>
                <w:szCs w:val="26"/>
              </w:rPr>
            </w:pPr>
          </w:p>
        </w:tc>
      </w:tr>
      <w:tr w:rsidR="00B02C76" w:rsidRPr="00FA4EAF" w:rsidTr="007F09CE">
        <w:tc>
          <w:tcPr>
            <w:tcW w:w="3077" w:type="dxa"/>
          </w:tcPr>
          <w:p w:rsidR="00B02C76" w:rsidRPr="00FA4EAF" w:rsidRDefault="00B02C76" w:rsidP="001D708C">
            <w:pPr>
              <w:rPr>
                <w:rFonts w:ascii="Arial" w:hAnsi="Arial"/>
                <w:b/>
                <w:bCs/>
                <w:noProof w:val="0"/>
                <w:sz w:val="26"/>
                <w:szCs w:val="26"/>
                <w:rtl/>
              </w:rPr>
            </w:pPr>
            <w:r w:rsidRPr="002D2705">
              <w:rPr>
                <w:rFonts w:hint="cs"/>
                <w:b/>
                <w:bCs/>
                <w:sz w:val="26"/>
                <w:szCs w:val="26"/>
                <w:rtl/>
              </w:rPr>
              <w:t>ה</w:t>
            </w:r>
            <w:sdt>
              <w:sdtPr>
                <w:rPr>
                  <w:sz w:val="26"/>
                  <w:szCs w:val="26"/>
                  <w:rtl/>
                </w:rPr>
                <w:alias w:val="1180"/>
                <w:tag w:val="1180"/>
                <w:id w:val="637458750"/>
                <w:text w:multiLine="1"/>
              </w:sdtPr>
              <w:sdtEndPr/>
              <w:sdtContent>
                <w:r>
                  <w:rPr>
                    <w:rFonts w:ascii="Arial" w:hAnsi="Arial"/>
                    <w:b/>
                    <w:bCs/>
                    <w:noProof w:val="0"/>
                    <w:sz w:val="26"/>
                    <w:szCs w:val="26"/>
                    <w:rtl/>
                  </w:rPr>
                  <w:t>תובע</w:t>
                </w:r>
                <w:r w:rsidR="001D708C">
                  <w:rPr>
                    <w:rFonts w:ascii="Arial" w:hAnsi="Arial" w:hint="cs"/>
                    <w:b/>
                    <w:bCs/>
                    <w:noProof w:val="0"/>
                    <w:sz w:val="26"/>
                    <w:szCs w:val="26"/>
                    <w:rtl/>
                  </w:rPr>
                  <w:t>ת</w:t>
                </w:r>
              </w:sdtContent>
            </w:sdt>
            <w:r>
              <w:rPr>
                <w:rFonts w:ascii="Arial" w:hAnsi="Arial" w:hint="cs"/>
                <w:b/>
                <w:bCs/>
                <w:noProof w:val="0"/>
                <w:sz w:val="26"/>
                <w:szCs w:val="26"/>
                <w:rtl/>
              </w:rPr>
              <w:t>:</w:t>
            </w:r>
          </w:p>
        </w:tc>
        <w:tc>
          <w:tcPr>
            <w:tcW w:w="5230" w:type="dxa"/>
            <w:gridSpan w:val="2"/>
          </w:tcPr>
          <w:p w:rsidR="00B02C76" w:rsidRPr="007F09CE" w:rsidRDefault="00EF70B5" w:rsidP="007F09CE">
            <w:pPr>
              <w:suppressLineNumbers/>
            </w:pPr>
            <w:sdt>
              <w:sdtPr>
                <w:rPr>
                  <w:rFonts w:ascii="Arial" w:hAnsi="Arial"/>
                  <w:b/>
                  <w:bCs/>
                  <w:noProof w:val="0"/>
                  <w:sz w:val="26"/>
                  <w:szCs w:val="26"/>
                  <w:rtl/>
                </w:rPr>
                <w:alias w:val="3151"/>
                <w:tag w:val="3151"/>
                <w:id w:val="1166218717"/>
                <w:placeholder>
                  <w:docPart w:val="6E9B64DE82404F9B827427D9CBC581D6"/>
                </w:placeholder>
                <w:text w:multiLine="1"/>
              </w:sdtPr>
              <w:sdtEndPr/>
              <w:sdtContent>
                <w:r w:rsidR="0016615E">
                  <w:rPr>
                    <w:rFonts w:ascii="Arial" w:hAnsi="Arial"/>
                    <w:b/>
                    <w:bCs/>
                    <w:noProof w:val="0"/>
                    <w:sz w:val="26"/>
                    <w:szCs w:val="26"/>
                    <w:rtl/>
                  </w:rPr>
                  <w:t>חיה ברס</w:t>
                </w:r>
              </w:sdtContent>
            </w:sdt>
          </w:p>
        </w:tc>
      </w:tr>
      <w:tr w:rsidR="00B02C76" w:rsidRPr="00FA4EAF" w:rsidTr="007F09CE">
        <w:trPr>
          <w:trHeight w:val="601"/>
        </w:trPr>
        <w:tc>
          <w:tcPr>
            <w:tcW w:w="8307" w:type="dxa"/>
            <w:gridSpan w:val="3"/>
          </w:tcPr>
          <w:p w:rsidR="00B02C76" w:rsidRPr="00FA4EAF" w:rsidRDefault="00B02C76" w:rsidP="00B02C76">
            <w:pPr>
              <w:rPr>
                <w:rFonts w:ascii="Arial" w:hAnsi="Arial"/>
                <w:b/>
                <w:bCs/>
                <w:noProof w:val="0"/>
                <w:sz w:val="26"/>
                <w:szCs w:val="26"/>
                <w:rtl/>
              </w:rPr>
            </w:pPr>
          </w:p>
          <w:p w:rsidR="00B02C76" w:rsidRPr="00FA4EAF" w:rsidRDefault="00B02C76" w:rsidP="00B02C76">
            <w:pPr>
              <w:jc w:val="center"/>
              <w:rPr>
                <w:rFonts w:ascii="Arial" w:hAnsi="Arial"/>
                <w:b/>
                <w:bCs/>
                <w:noProof w:val="0"/>
                <w:sz w:val="26"/>
                <w:szCs w:val="26"/>
                <w:rtl/>
              </w:rPr>
            </w:pPr>
            <w:r w:rsidRPr="00FA4EAF">
              <w:rPr>
                <w:rFonts w:ascii="Arial" w:hAnsi="Arial"/>
                <w:b/>
                <w:bCs/>
                <w:noProof w:val="0"/>
                <w:sz w:val="26"/>
                <w:szCs w:val="26"/>
                <w:rtl/>
              </w:rPr>
              <w:t>נגד</w:t>
            </w:r>
          </w:p>
          <w:p w:rsidR="00B02C76" w:rsidRPr="00AA5158" w:rsidRDefault="00B02C76" w:rsidP="00B02C76">
            <w:pPr>
              <w:rPr>
                <w:rFonts w:ascii="Arial" w:hAnsi="Arial"/>
                <w:b/>
                <w:bCs/>
                <w:noProof w:val="0"/>
                <w:sz w:val="16"/>
                <w:szCs w:val="16"/>
              </w:rPr>
            </w:pPr>
          </w:p>
        </w:tc>
      </w:tr>
      <w:tr w:rsidR="00B02C76" w:rsidRPr="00FA4EAF" w:rsidTr="007F09CE">
        <w:tc>
          <w:tcPr>
            <w:tcW w:w="3077" w:type="dxa"/>
          </w:tcPr>
          <w:p w:rsidR="00B02C76" w:rsidRPr="00FA4EAF" w:rsidRDefault="00B02C76" w:rsidP="001D708C">
            <w:pPr>
              <w:rPr>
                <w:rFonts w:ascii="Arial" w:hAnsi="Arial"/>
                <w:b/>
                <w:bCs/>
                <w:noProof w:val="0"/>
                <w:sz w:val="26"/>
                <w:szCs w:val="26"/>
              </w:rPr>
            </w:pPr>
            <w:r w:rsidRPr="002D2705">
              <w:rPr>
                <w:rFonts w:hint="cs"/>
                <w:b/>
                <w:bCs/>
                <w:sz w:val="26"/>
                <w:szCs w:val="26"/>
                <w:rtl/>
              </w:rPr>
              <w:t>ה</w:t>
            </w:r>
            <w:sdt>
              <w:sdtPr>
                <w:rPr>
                  <w:sz w:val="26"/>
                  <w:szCs w:val="26"/>
                  <w:rtl/>
                </w:rPr>
                <w:alias w:val="1184"/>
                <w:tag w:val="1184"/>
                <w:id w:val="-340621022"/>
                <w:text w:multiLine="1"/>
              </w:sdtPr>
              <w:sdtEndPr/>
              <w:sdtContent>
                <w:r>
                  <w:rPr>
                    <w:rFonts w:ascii="Arial" w:hAnsi="Arial"/>
                    <w:b/>
                    <w:bCs/>
                    <w:noProof w:val="0"/>
                    <w:sz w:val="26"/>
                    <w:szCs w:val="26"/>
                    <w:rtl/>
                  </w:rPr>
                  <w:t>נתבע</w:t>
                </w:r>
                <w:r w:rsidR="001D708C">
                  <w:rPr>
                    <w:rFonts w:ascii="Arial" w:hAnsi="Arial" w:hint="cs"/>
                    <w:b/>
                    <w:bCs/>
                    <w:noProof w:val="0"/>
                    <w:sz w:val="26"/>
                    <w:szCs w:val="26"/>
                    <w:rtl/>
                  </w:rPr>
                  <w:t>ת</w:t>
                </w:r>
              </w:sdtContent>
            </w:sdt>
            <w:r>
              <w:rPr>
                <w:rFonts w:ascii="Arial" w:hAnsi="Arial" w:hint="cs"/>
                <w:b/>
                <w:bCs/>
                <w:noProof w:val="0"/>
                <w:sz w:val="26"/>
                <w:szCs w:val="26"/>
                <w:rtl/>
              </w:rPr>
              <w:t>:</w:t>
            </w:r>
          </w:p>
        </w:tc>
        <w:tc>
          <w:tcPr>
            <w:tcW w:w="5230" w:type="dxa"/>
            <w:gridSpan w:val="2"/>
          </w:tcPr>
          <w:p w:rsidR="007F09CE" w:rsidRDefault="00EF70B5" w:rsidP="007F09CE">
            <w:pPr>
              <w:suppressLineNumbers/>
            </w:pPr>
            <w:sdt>
              <w:sdtPr>
                <w:rPr>
                  <w:rFonts w:ascii="Arial" w:hAnsi="Arial"/>
                  <w:b/>
                  <w:bCs/>
                  <w:noProof w:val="0"/>
                  <w:sz w:val="26"/>
                  <w:szCs w:val="26"/>
                  <w:rtl/>
                </w:rPr>
                <w:alias w:val="3152"/>
                <w:tag w:val="3152"/>
                <w:id w:val="-1346628691"/>
                <w:placeholder>
                  <w:docPart w:val="4975FDB7C9824906A8EDDDC584D8F333"/>
                </w:placeholder>
                <w:text w:multiLine="1"/>
              </w:sdtPr>
              <w:sdtEndPr/>
              <w:sdtContent>
                <w:r w:rsidR="0016615E">
                  <w:rPr>
                    <w:rFonts w:ascii="Arial" w:hAnsi="Arial"/>
                    <w:b/>
                    <w:bCs/>
                    <w:noProof w:val="0"/>
                    <w:sz w:val="26"/>
                    <w:szCs w:val="26"/>
                    <w:rtl/>
                  </w:rPr>
                  <w:t>עיריית בני ברק</w:t>
                </w:r>
              </w:sdtContent>
            </w:sdt>
          </w:p>
          <w:p w:rsidR="00B02C76" w:rsidRPr="007F09CE" w:rsidRDefault="00B02C76" w:rsidP="007F09CE">
            <w:pPr>
              <w:rPr>
                <w:sz w:val="26"/>
                <w:szCs w:val="26"/>
                <w:rtl/>
              </w:rPr>
            </w:pPr>
          </w:p>
        </w:tc>
      </w:tr>
      <w:tr w:rsidR="00B02C76" w:rsidRPr="00FA4EAF" w:rsidTr="007F09CE">
        <w:tc>
          <w:tcPr>
            <w:tcW w:w="8307" w:type="dxa"/>
            <w:gridSpan w:val="3"/>
          </w:tcPr>
          <w:p w:rsidR="00B02C76" w:rsidRPr="007F09CE" w:rsidRDefault="00B02C76" w:rsidP="00B02C76">
            <w:pPr>
              <w:rPr>
                <w:rFonts w:ascii="Arial" w:hAnsi="Arial"/>
                <w:b/>
                <w:bCs/>
                <w:noProof w:val="0"/>
                <w:sz w:val="26"/>
                <w:szCs w:val="26"/>
                <w:rtl/>
              </w:rPr>
            </w:pPr>
          </w:p>
        </w:tc>
      </w:tr>
    </w:tbl>
    <w:p w:rsidR="00E31C2B" w:rsidRPr="001D708C" w:rsidRDefault="001D708C" w:rsidP="004D1998">
      <w:pPr>
        <w:rPr>
          <w:sz w:val="22"/>
          <w:szCs w:val="22"/>
          <w:rtl/>
        </w:rPr>
      </w:pPr>
      <w:r w:rsidRPr="001D708C">
        <w:rPr>
          <w:rFonts w:hint="cs"/>
          <w:sz w:val="22"/>
          <w:szCs w:val="22"/>
          <w:rtl/>
        </w:rPr>
        <w:t>ב"כ התובעת:</w:t>
      </w:r>
      <w:r w:rsidRPr="001D708C">
        <w:rPr>
          <w:sz w:val="22"/>
          <w:szCs w:val="22"/>
          <w:rtl/>
        </w:rPr>
        <w:tab/>
      </w:r>
      <w:r w:rsidRPr="001D708C">
        <w:rPr>
          <w:rFonts w:hint="cs"/>
          <w:sz w:val="22"/>
          <w:szCs w:val="22"/>
          <w:rtl/>
        </w:rPr>
        <w:t xml:space="preserve">עו"ד בריהאן סייף, עו"ד רעות מיכאלי </w:t>
      </w:r>
      <w:r w:rsidRPr="001D708C">
        <w:rPr>
          <w:sz w:val="22"/>
          <w:szCs w:val="22"/>
          <w:rtl/>
        </w:rPr>
        <w:t>–</w:t>
      </w:r>
      <w:r w:rsidRPr="001D708C">
        <w:rPr>
          <w:rFonts w:hint="cs"/>
          <w:sz w:val="22"/>
          <w:szCs w:val="22"/>
          <w:rtl/>
        </w:rPr>
        <w:t xml:space="preserve"> מטעם הסיוע המשפטי, משרד המשפטים</w:t>
      </w:r>
    </w:p>
    <w:p w:rsidR="001D708C" w:rsidRPr="001D708C" w:rsidRDefault="001D708C" w:rsidP="004D1998">
      <w:pPr>
        <w:rPr>
          <w:sz w:val="22"/>
          <w:szCs w:val="22"/>
        </w:rPr>
      </w:pPr>
      <w:r w:rsidRPr="001D708C">
        <w:rPr>
          <w:rFonts w:hint="cs"/>
          <w:sz w:val="22"/>
          <w:szCs w:val="22"/>
          <w:rtl/>
        </w:rPr>
        <w:t>ב"כ הנתבעת:</w:t>
      </w:r>
      <w:r w:rsidRPr="001D708C">
        <w:rPr>
          <w:sz w:val="22"/>
          <w:szCs w:val="22"/>
          <w:rtl/>
        </w:rPr>
        <w:tab/>
      </w:r>
      <w:r w:rsidRPr="001D708C">
        <w:rPr>
          <w:rFonts w:hint="cs"/>
          <w:sz w:val="22"/>
          <w:szCs w:val="22"/>
          <w:rtl/>
        </w:rPr>
        <w:t>עו"ד יהודה ליבוביץ</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1D708C" w:rsidRDefault="001D708C" w:rsidP="001D708C">
            <w:pPr>
              <w:bidi w:val="0"/>
              <w:jc w:val="center"/>
              <w:rPr>
                <w:rFonts w:ascii="Arial" w:hAnsi="Arial"/>
                <w:b/>
                <w:bCs/>
                <w:noProof w:val="0"/>
                <w:sz w:val="28"/>
                <w:szCs w:val="28"/>
                <w:u w:val="single"/>
                <w:rtl/>
              </w:rPr>
            </w:pPr>
          </w:p>
          <w:p w:rsidR="00694556" w:rsidRDefault="0016615E" w:rsidP="001D708C">
            <w:pPr>
              <w:bidi w:val="0"/>
              <w:jc w:val="center"/>
              <w:rPr>
                <w:rFonts w:ascii="Arial" w:hAnsi="Arial"/>
                <w:b/>
                <w:bCs/>
                <w:noProof w:val="0"/>
                <w:sz w:val="28"/>
                <w:szCs w:val="28"/>
                <w:u w:val="single"/>
              </w:rPr>
            </w:pPr>
            <w:r w:rsidRPr="001D708C">
              <w:rPr>
                <w:rFonts w:ascii="Arial" w:hAnsi="Arial" w:hint="cs"/>
                <w:b/>
                <w:bCs/>
                <w:noProof w:val="0"/>
                <w:sz w:val="38"/>
                <w:szCs w:val="38"/>
                <w:u w:val="single"/>
                <w:rtl/>
              </w:rPr>
              <w:t>פסק דין</w:t>
            </w:r>
          </w:p>
        </w:tc>
      </w:tr>
    </w:tbl>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bookmarkStart w:id="0" w:name="NGCSBookmark"/>
      <w:bookmarkEnd w:id="0"/>
    </w:p>
    <w:p w:rsidR="001D708C" w:rsidRDefault="001D708C" w:rsidP="001D708C">
      <w:pPr>
        <w:pStyle w:val="ad"/>
        <w:spacing w:line="360" w:lineRule="auto"/>
        <w:ind w:left="-456"/>
        <w:jc w:val="both"/>
        <w:rPr>
          <w:rFonts w:ascii="David" w:hAnsi="David" w:cs="David"/>
          <w:b/>
          <w:bCs/>
          <w:sz w:val="28"/>
          <w:szCs w:val="28"/>
          <w:u w:val="single"/>
        </w:rPr>
      </w:pPr>
      <w:r>
        <w:rPr>
          <w:rFonts w:ascii="David" w:hAnsi="David" w:cs="David"/>
          <w:b/>
          <w:bCs/>
          <w:sz w:val="28"/>
          <w:szCs w:val="28"/>
          <w:u w:val="single"/>
          <w:rtl/>
        </w:rPr>
        <w:t>חלק ראשון, פתח דבר – עניינו של ההליך ותמצית טענות הצדדים</w:t>
      </w:r>
    </w:p>
    <w:p w:rsidR="001D708C" w:rsidRDefault="001D708C" w:rsidP="001D708C">
      <w:pPr>
        <w:pStyle w:val="ad"/>
        <w:spacing w:line="360" w:lineRule="auto"/>
        <w:ind w:left="-456"/>
        <w:jc w:val="both"/>
        <w:rPr>
          <w:rFonts w:ascii="David" w:hAnsi="David" w:cs="David"/>
          <w:b/>
          <w:bCs/>
          <w:sz w:val="24"/>
          <w:szCs w:val="24"/>
          <w:u w:val="single"/>
          <w:rtl/>
        </w:rPr>
      </w:pPr>
    </w:p>
    <w:p w:rsidR="001D708C" w:rsidRDefault="001D708C" w:rsidP="001D708C">
      <w:pPr>
        <w:pStyle w:val="ad"/>
        <w:numPr>
          <w:ilvl w:val="0"/>
          <w:numId w:val="1"/>
        </w:numPr>
        <w:spacing w:line="360" w:lineRule="auto"/>
        <w:ind w:left="-172" w:hanging="284"/>
        <w:jc w:val="both"/>
        <w:rPr>
          <w:rFonts w:ascii="David" w:hAnsi="David" w:cs="David"/>
          <w:sz w:val="24"/>
          <w:szCs w:val="24"/>
        </w:rPr>
      </w:pPr>
      <w:r>
        <w:rPr>
          <w:rFonts w:ascii="David" w:hAnsi="David" w:cs="David"/>
          <w:b/>
          <w:bCs/>
          <w:sz w:val="24"/>
          <w:szCs w:val="24"/>
          <w:u w:val="single"/>
          <w:rtl/>
        </w:rPr>
        <w:t>עניינו של ההליך</w:t>
      </w:r>
    </w:p>
    <w:p w:rsidR="001D708C" w:rsidRDefault="001D708C" w:rsidP="001D708C">
      <w:pPr>
        <w:pStyle w:val="ad"/>
        <w:spacing w:line="360" w:lineRule="auto"/>
        <w:ind w:left="-172"/>
        <w:jc w:val="both"/>
        <w:rPr>
          <w:rFonts w:ascii="David" w:hAnsi="David" w:cs="David"/>
          <w:sz w:val="24"/>
          <w:szCs w:val="24"/>
        </w:rPr>
      </w:pPr>
      <w:r>
        <w:rPr>
          <w:rFonts w:ascii="David" w:hAnsi="David" w:cs="David"/>
          <w:sz w:val="24"/>
          <w:szCs w:val="24"/>
          <w:rtl/>
        </w:rPr>
        <w:t xml:space="preserve">עניינו של ההליך הוא תביעה על סך של </w:t>
      </w:r>
      <w:r>
        <w:rPr>
          <w:rFonts w:ascii="David" w:hAnsi="David" w:cs="David"/>
          <w:b/>
          <w:bCs/>
          <w:sz w:val="24"/>
          <w:szCs w:val="24"/>
          <w:u w:val="single"/>
          <w:rtl/>
        </w:rPr>
        <w:t>75,000 ₪</w:t>
      </w:r>
      <w:r>
        <w:rPr>
          <w:rFonts w:ascii="David" w:hAnsi="David" w:cs="David"/>
          <w:sz w:val="24"/>
          <w:szCs w:val="24"/>
          <w:rtl/>
        </w:rPr>
        <w:t xml:space="preserve"> שהוגשה כנגד עיריית בני ברק, אשר סירבה להשאיל לתובעת ספרים מסוימים בספריה העירונית הציבורית היחידה בעיר - מכיוון שזו לא התחתנה. הנתבעת אינה מכחישה שאכן סירבה להשאיל ספרים לאישה שלא נישאה לאיש. </w:t>
      </w:r>
    </w:p>
    <w:p w:rsidR="001D708C" w:rsidRDefault="001D708C" w:rsidP="001D708C">
      <w:pPr>
        <w:pStyle w:val="ad"/>
        <w:spacing w:line="360" w:lineRule="auto"/>
        <w:ind w:left="-172"/>
        <w:jc w:val="both"/>
        <w:rPr>
          <w:rFonts w:ascii="David" w:hAnsi="David" w:cs="David"/>
          <w:sz w:val="24"/>
          <w:szCs w:val="24"/>
          <w:rtl/>
        </w:rPr>
      </w:pPr>
    </w:p>
    <w:p w:rsidR="001D708C" w:rsidRDefault="001D708C" w:rsidP="001D708C">
      <w:pPr>
        <w:pStyle w:val="ad"/>
        <w:numPr>
          <w:ilvl w:val="0"/>
          <w:numId w:val="1"/>
        </w:numPr>
        <w:spacing w:line="360" w:lineRule="auto"/>
        <w:ind w:left="-172" w:hanging="284"/>
        <w:jc w:val="both"/>
        <w:rPr>
          <w:rFonts w:ascii="David" w:hAnsi="David" w:cs="David"/>
          <w:sz w:val="24"/>
          <w:szCs w:val="24"/>
          <w:u w:val="single"/>
          <w:rtl/>
        </w:rPr>
      </w:pPr>
      <w:r>
        <w:rPr>
          <w:rFonts w:ascii="David" w:hAnsi="David" w:cs="David"/>
          <w:b/>
          <w:bCs/>
          <w:sz w:val="24"/>
          <w:szCs w:val="24"/>
          <w:u w:val="single"/>
          <w:rtl/>
        </w:rPr>
        <w:t>תמצית טענות התביעה</w:t>
      </w:r>
    </w:p>
    <w:p w:rsidR="001D708C" w:rsidRDefault="001D708C" w:rsidP="00687D3F">
      <w:pPr>
        <w:pStyle w:val="ad"/>
        <w:numPr>
          <w:ilvl w:val="1"/>
          <w:numId w:val="1"/>
        </w:numPr>
        <w:spacing w:line="360" w:lineRule="auto"/>
        <w:ind w:left="395" w:hanging="567"/>
        <w:jc w:val="both"/>
        <w:rPr>
          <w:rFonts w:ascii="David" w:hAnsi="David" w:cs="David"/>
          <w:sz w:val="24"/>
          <w:szCs w:val="24"/>
        </w:rPr>
      </w:pPr>
      <w:r>
        <w:rPr>
          <w:rFonts w:ascii="David" w:hAnsi="David" w:cs="David"/>
          <w:sz w:val="24"/>
          <w:szCs w:val="24"/>
          <w:rtl/>
        </w:rPr>
        <w:t>התובעת היא רווקה, כבת 27 במועד הגשת התביעה ובת 26 במועד אירועי התביעה. התובעת הבהירה שהיא שייכת לאוכלוסיה החרדי</w:t>
      </w:r>
      <w:r w:rsidR="00687D3F">
        <w:rPr>
          <w:rFonts w:ascii="David" w:hAnsi="David" w:cs="David" w:hint="cs"/>
          <w:sz w:val="24"/>
          <w:szCs w:val="24"/>
          <w:rtl/>
        </w:rPr>
        <w:t>ת</w:t>
      </w:r>
      <w:r>
        <w:rPr>
          <w:rFonts w:ascii="David" w:hAnsi="David" w:cs="David"/>
          <w:sz w:val="24"/>
          <w:szCs w:val="24"/>
          <w:rtl/>
        </w:rPr>
        <w:t>, וכי הספריה העירונית אותה מפעילה הנתבעת נמצאת בעיר בני ברק.</w:t>
      </w:r>
    </w:p>
    <w:p w:rsidR="001D708C" w:rsidRDefault="001D708C" w:rsidP="001D708C">
      <w:pPr>
        <w:pStyle w:val="ad"/>
        <w:spacing w:line="360" w:lineRule="auto"/>
        <w:ind w:left="395"/>
        <w:jc w:val="both"/>
        <w:rPr>
          <w:rFonts w:ascii="David" w:hAnsi="David" w:cs="David"/>
          <w:sz w:val="24"/>
          <w:szCs w:val="24"/>
        </w:rPr>
      </w:pPr>
    </w:p>
    <w:p w:rsidR="001D708C" w:rsidRDefault="001D708C" w:rsidP="001D708C">
      <w:pPr>
        <w:pStyle w:val="ad"/>
        <w:numPr>
          <w:ilvl w:val="1"/>
          <w:numId w:val="1"/>
        </w:numPr>
        <w:spacing w:line="360" w:lineRule="auto"/>
        <w:ind w:left="395" w:hanging="567"/>
        <w:jc w:val="both"/>
        <w:rPr>
          <w:rFonts w:ascii="David" w:hAnsi="David" w:cs="David"/>
          <w:sz w:val="24"/>
          <w:szCs w:val="24"/>
        </w:rPr>
      </w:pPr>
      <w:r>
        <w:rPr>
          <w:rFonts w:ascii="David" w:hAnsi="David" w:cs="David"/>
          <w:sz w:val="24"/>
          <w:szCs w:val="24"/>
          <w:rtl/>
        </w:rPr>
        <w:t>התובעת ביקשה בהזדמנויות שונות לשאול ספרים מהספריה העירונית. חלק מבקשותיה סורבו, בתואנה שהספרים המבוקשים הם "ספרים למבוגרים בלבד". בהמשך נמסר לתובעת שמכיוון שהיא אינה נשואה, הרי לא תוכל לשאול את הספרים השונים אותם ביקשה.</w:t>
      </w:r>
    </w:p>
    <w:p w:rsidR="001D708C" w:rsidRDefault="001D708C" w:rsidP="001D708C">
      <w:pPr>
        <w:pStyle w:val="ad"/>
        <w:rPr>
          <w:rFonts w:ascii="David" w:hAnsi="David" w:cs="David"/>
          <w:sz w:val="24"/>
          <w:szCs w:val="24"/>
        </w:rPr>
      </w:pPr>
    </w:p>
    <w:p w:rsidR="001D708C" w:rsidRDefault="001D708C" w:rsidP="001D708C">
      <w:pPr>
        <w:pStyle w:val="ad"/>
        <w:numPr>
          <w:ilvl w:val="1"/>
          <w:numId w:val="1"/>
        </w:numPr>
        <w:spacing w:line="360" w:lineRule="auto"/>
        <w:ind w:left="395" w:hanging="567"/>
        <w:jc w:val="both"/>
        <w:rPr>
          <w:rFonts w:ascii="David" w:hAnsi="David" w:cs="David"/>
          <w:sz w:val="24"/>
          <w:szCs w:val="24"/>
          <w:rtl/>
        </w:rPr>
      </w:pPr>
      <w:r>
        <w:rPr>
          <w:rFonts w:ascii="David" w:hAnsi="David" w:cs="David"/>
          <w:b/>
          <w:bCs/>
          <w:sz w:val="24"/>
          <w:szCs w:val="24"/>
          <w:u w:val="single"/>
          <w:rtl/>
        </w:rPr>
        <w:t>מקרה ראשון בו סירבה הנתבעת להשאיל לתובעת ספר</w:t>
      </w:r>
    </w:p>
    <w:p w:rsidR="001D708C" w:rsidRDefault="001D708C" w:rsidP="001D708C">
      <w:pPr>
        <w:pStyle w:val="ad"/>
        <w:numPr>
          <w:ilvl w:val="0"/>
          <w:numId w:val="2"/>
        </w:numPr>
        <w:spacing w:line="360" w:lineRule="auto"/>
        <w:jc w:val="both"/>
        <w:rPr>
          <w:rFonts w:ascii="David" w:hAnsi="David" w:cs="David"/>
          <w:sz w:val="24"/>
          <w:szCs w:val="24"/>
        </w:rPr>
      </w:pPr>
      <w:r>
        <w:rPr>
          <w:rFonts w:ascii="David" w:hAnsi="David" w:cs="David"/>
          <w:sz w:val="24"/>
          <w:szCs w:val="24"/>
          <w:rtl/>
        </w:rPr>
        <w:t>ביום 15/6/2022 ביקשה התובעת לשאול את הספר "חדר המתנה", ואולם ספרנית הנתבעת מסרה לה שהספר מיועד "למבוגרים בלבד". לאחר דין ודברים, הוסיפה הספרנית שהספר מיועד לנשים נשואות בלבד.</w:t>
      </w:r>
    </w:p>
    <w:p w:rsidR="001D708C" w:rsidRDefault="001D708C" w:rsidP="001D708C">
      <w:pPr>
        <w:pStyle w:val="ad"/>
        <w:spacing w:line="360" w:lineRule="auto"/>
        <w:ind w:left="1080"/>
        <w:jc w:val="both"/>
        <w:rPr>
          <w:rFonts w:ascii="David" w:hAnsi="David" w:cs="David"/>
          <w:sz w:val="24"/>
          <w:szCs w:val="24"/>
        </w:rPr>
      </w:pPr>
    </w:p>
    <w:p w:rsidR="001D708C" w:rsidRDefault="001D708C" w:rsidP="001D708C">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התובעת מציינת שבהתאם לאמור בכריכת הספר, הרי הוא עוסק בהתמודדות של זוגות הממתינים לילד בהליכי פוריות. התובעת ציטטה מתוך כריכת הספר את המילים הבאות – </w:t>
      </w:r>
      <w:r>
        <w:rPr>
          <w:rFonts w:ascii="David" w:hAnsi="David" w:cs="David"/>
          <w:b/>
          <w:bCs/>
          <w:sz w:val="24"/>
          <w:szCs w:val="24"/>
          <w:rtl/>
        </w:rPr>
        <w:t xml:space="preserve">"בספר זה תוכלו להציץ גם אתם לתוך אותם חדרי המתנה, לגעת בתשוקה ובדמעות </w:t>
      </w:r>
      <w:r>
        <w:rPr>
          <w:rFonts w:ascii="David" w:hAnsi="David" w:cs="David"/>
          <w:b/>
          <w:bCs/>
          <w:sz w:val="24"/>
          <w:szCs w:val="24"/>
          <w:rtl/>
        </w:rPr>
        <w:lastRenderedPageBreak/>
        <w:t>ולנסות להבין מעט מזעיר, את כל הרגשות והתחושות המתערבלות שם באוויר. ספר זה אינו מיועד רק לזוגות הממתינים. גם הורים, בני משפחה, ידידים ומכרים יוכלו למצוא בו את עצמם בצמתים שונים"</w:t>
      </w:r>
      <w:r>
        <w:rPr>
          <w:rFonts w:ascii="David" w:hAnsi="David" w:cs="David"/>
          <w:sz w:val="24"/>
          <w:szCs w:val="24"/>
          <w:rtl/>
        </w:rPr>
        <w:t>.</w:t>
      </w:r>
    </w:p>
    <w:p w:rsidR="001D708C" w:rsidRDefault="001D708C" w:rsidP="001D708C">
      <w:pPr>
        <w:pStyle w:val="ad"/>
        <w:rPr>
          <w:rFonts w:ascii="David" w:hAnsi="David" w:cs="David"/>
          <w:sz w:val="24"/>
          <w:szCs w:val="24"/>
        </w:rPr>
      </w:pPr>
    </w:p>
    <w:p w:rsidR="001D708C" w:rsidRDefault="001D708C" w:rsidP="001D708C">
      <w:pPr>
        <w:pStyle w:val="ad"/>
        <w:numPr>
          <w:ilvl w:val="1"/>
          <w:numId w:val="1"/>
        </w:numPr>
        <w:spacing w:line="360" w:lineRule="auto"/>
        <w:ind w:left="395" w:hanging="567"/>
        <w:jc w:val="both"/>
        <w:rPr>
          <w:rFonts w:ascii="David" w:hAnsi="David" w:cs="David"/>
          <w:sz w:val="24"/>
          <w:szCs w:val="24"/>
          <w:rtl/>
        </w:rPr>
      </w:pPr>
      <w:r>
        <w:rPr>
          <w:rFonts w:ascii="David" w:hAnsi="David" w:cs="David"/>
          <w:b/>
          <w:bCs/>
          <w:sz w:val="24"/>
          <w:szCs w:val="24"/>
          <w:u w:val="single"/>
          <w:rtl/>
        </w:rPr>
        <w:t>מקרה שני בו סירבה הנתבעת להשאיל לתובעת ספר</w:t>
      </w:r>
    </w:p>
    <w:p w:rsidR="001D708C" w:rsidRDefault="001D708C" w:rsidP="001D708C">
      <w:pPr>
        <w:pStyle w:val="ad"/>
        <w:numPr>
          <w:ilvl w:val="0"/>
          <w:numId w:val="3"/>
        </w:numPr>
        <w:spacing w:line="360" w:lineRule="auto"/>
        <w:jc w:val="both"/>
        <w:rPr>
          <w:rFonts w:ascii="David" w:hAnsi="David" w:cs="David"/>
          <w:sz w:val="24"/>
          <w:szCs w:val="24"/>
        </w:rPr>
      </w:pPr>
      <w:r>
        <w:rPr>
          <w:rFonts w:ascii="David" w:hAnsi="David" w:cs="David"/>
          <w:sz w:val="24"/>
          <w:szCs w:val="24"/>
          <w:rtl/>
        </w:rPr>
        <w:t>ביום 14/11/2022 ביקשה התובעת לשאול את הספר "הרים סביב לה". הספר עוסק במפגש בין ארבעה צעירים שהגיעו מרחבי תבל לירושלים, והם מתמודדים עם הבעיות המעסיקות אותם בנושאי דיור, שידוכים ועוד.</w:t>
      </w:r>
    </w:p>
    <w:p w:rsidR="001D708C" w:rsidRDefault="001D708C" w:rsidP="001D708C">
      <w:pPr>
        <w:pStyle w:val="ad"/>
        <w:spacing w:line="360" w:lineRule="auto"/>
        <w:ind w:left="755"/>
        <w:jc w:val="both"/>
        <w:rPr>
          <w:rFonts w:ascii="David" w:hAnsi="David" w:cs="David"/>
          <w:sz w:val="24"/>
          <w:szCs w:val="24"/>
        </w:rPr>
      </w:pPr>
    </w:p>
    <w:p w:rsidR="001D708C" w:rsidRDefault="001D708C" w:rsidP="001D708C">
      <w:pPr>
        <w:pStyle w:val="ad"/>
        <w:numPr>
          <w:ilvl w:val="0"/>
          <w:numId w:val="3"/>
        </w:numPr>
        <w:spacing w:line="360" w:lineRule="auto"/>
        <w:jc w:val="both"/>
        <w:rPr>
          <w:rFonts w:ascii="David" w:hAnsi="David" w:cs="David"/>
          <w:sz w:val="24"/>
          <w:szCs w:val="24"/>
        </w:rPr>
      </w:pPr>
      <w:r>
        <w:rPr>
          <w:rFonts w:ascii="David" w:hAnsi="David" w:cs="David"/>
          <w:sz w:val="24"/>
          <w:szCs w:val="24"/>
          <w:rtl/>
        </w:rPr>
        <w:t>גם במקרה זה סירבה הספרנית להשאיל את הספר וטענה שזה מיועד "למבוגרים בלבד". גם במקרה זה הוסיפה הספרנית, לאחר דין ודברים, שהספר מ</w:t>
      </w:r>
      <w:r w:rsidR="00687D3F">
        <w:rPr>
          <w:rFonts w:ascii="David" w:hAnsi="David" w:cs="David"/>
          <w:sz w:val="24"/>
          <w:szCs w:val="24"/>
          <w:rtl/>
        </w:rPr>
        <w:t xml:space="preserve">יועד לנשים נשואות בלבד, וכן כי </w:t>
      </w:r>
      <w:r>
        <w:rPr>
          <w:rFonts w:ascii="David" w:hAnsi="David" w:cs="David"/>
          <w:sz w:val="24"/>
          <w:szCs w:val="24"/>
          <w:rtl/>
        </w:rPr>
        <w:t xml:space="preserve">המונח 'מבוגרים' מכוון לבני זוג נשואים. התובעת הוסיפה שהספרים ניתנים להשאלה לנשים נשואות, וכן לגרושות או אלמנות – אך לא ניתן להשאילו לרווקות. </w:t>
      </w:r>
    </w:p>
    <w:p w:rsidR="001D708C" w:rsidRDefault="001D708C" w:rsidP="001D708C">
      <w:pPr>
        <w:pStyle w:val="ad"/>
        <w:spacing w:line="360" w:lineRule="auto"/>
        <w:ind w:left="1080"/>
        <w:jc w:val="both"/>
        <w:rPr>
          <w:rFonts w:ascii="David" w:hAnsi="David" w:cs="David"/>
          <w:sz w:val="24"/>
          <w:szCs w:val="24"/>
        </w:rPr>
      </w:pPr>
    </w:p>
    <w:p w:rsidR="001D708C" w:rsidRDefault="001D708C" w:rsidP="001D708C">
      <w:pPr>
        <w:pStyle w:val="ad"/>
        <w:numPr>
          <w:ilvl w:val="1"/>
          <w:numId w:val="1"/>
        </w:numPr>
        <w:spacing w:line="360" w:lineRule="auto"/>
        <w:ind w:left="395" w:hanging="567"/>
        <w:jc w:val="both"/>
        <w:rPr>
          <w:rFonts w:ascii="David" w:hAnsi="David" w:cs="David"/>
          <w:sz w:val="24"/>
          <w:szCs w:val="24"/>
          <w:rtl/>
        </w:rPr>
      </w:pPr>
      <w:r>
        <w:rPr>
          <w:rFonts w:ascii="David" w:hAnsi="David" w:cs="David"/>
          <w:sz w:val="24"/>
          <w:szCs w:val="24"/>
          <w:rtl/>
        </w:rPr>
        <w:t xml:space="preserve">במסגרת מקרה הסירוב השני של הנתבעת, התחוור שאין מדובר בשני מקרים בלבד, אלא קיימים ספרים נוספים, המוחזקים בארון עם דלתות זכוכית ואשר הספרים בו אסורים להשאלה לרווקות. את ההחלטה האם לאסור השאלת ספר כזה או אחר </w:t>
      </w:r>
      <w:r>
        <w:rPr>
          <w:rFonts w:ascii="David" w:hAnsi="David" w:cs="David"/>
          <w:sz w:val="24"/>
          <w:szCs w:val="24"/>
          <w:u w:val="single"/>
          <w:rtl/>
        </w:rPr>
        <w:t>קובעת הספרנית</w:t>
      </w:r>
      <w:r>
        <w:rPr>
          <w:rFonts w:ascii="David" w:hAnsi="David" w:cs="David"/>
          <w:sz w:val="24"/>
          <w:szCs w:val="24"/>
          <w:rtl/>
        </w:rPr>
        <w:t xml:space="preserve">, כאשר בפועל אין כל קריטריונים לאיסור. </w:t>
      </w:r>
      <w:r>
        <w:rPr>
          <w:rFonts w:ascii="David" w:hAnsi="David" w:cs="David"/>
          <w:sz w:val="24"/>
          <w:szCs w:val="24"/>
          <w:u w:val="single"/>
          <w:rtl/>
        </w:rPr>
        <w:t>לענין זה</w:t>
      </w:r>
      <w:r>
        <w:rPr>
          <w:rFonts w:ascii="David" w:hAnsi="David" w:cs="David"/>
          <w:sz w:val="24"/>
          <w:szCs w:val="24"/>
          <w:rtl/>
        </w:rPr>
        <w:t>, ציינה התובעת כיצד פנתה ביום 15.11.2022 בדוא"ל לספריה העירונית וביקשה לדעת באיזה גיל ניתן כבר לשאול "ספרים למבוגרים" וכן מה הקריטריונים להשאלתם. בתשובה נמסר לה בכתב בהודע</w:t>
      </w:r>
      <w:r>
        <w:rPr>
          <w:rFonts w:ascii="David" w:hAnsi="David" w:cs="David" w:hint="cs"/>
          <w:sz w:val="24"/>
          <w:szCs w:val="24"/>
          <w:rtl/>
        </w:rPr>
        <w:t>ת</w:t>
      </w:r>
      <w:r>
        <w:rPr>
          <w:rFonts w:ascii="David" w:hAnsi="David" w:cs="David"/>
          <w:sz w:val="24"/>
          <w:szCs w:val="24"/>
          <w:rtl/>
        </w:rPr>
        <w:t xml:space="preserve"> הספריה העירונית, ללא חתימת שם השולח, כך: </w:t>
      </w:r>
    </w:p>
    <w:p w:rsidR="001D708C" w:rsidRDefault="001D708C" w:rsidP="001D708C">
      <w:pPr>
        <w:pStyle w:val="ad"/>
        <w:spacing w:line="360" w:lineRule="auto"/>
        <w:ind w:left="2915" w:firstLine="685"/>
        <w:jc w:val="both"/>
        <w:rPr>
          <w:rFonts w:ascii="David" w:hAnsi="David" w:cs="David"/>
          <w:sz w:val="24"/>
          <w:szCs w:val="24"/>
        </w:rPr>
      </w:pPr>
      <w:r>
        <w:rPr>
          <w:rFonts w:ascii="David" w:hAnsi="David" w:cs="David"/>
          <w:b/>
          <w:bCs/>
          <w:sz w:val="24"/>
          <w:szCs w:val="24"/>
          <w:rtl/>
        </w:rPr>
        <w:t>"לפי החלטת הנהלת הספריה,</w:t>
      </w:r>
    </w:p>
    <w:p w:rsidR="001D708C" w:rsidRDefault="001D708C" w:rsidP="001D708C">
      <w:pPr>
        <w:pStyle w:val="ad"/>
        <w:spacing w:line="360" w:lineRule="auto"/>
        <w:ind w:left="3600"/>
        <w:jc w:val="both"/>
        <w:rPr>
          <w:rFonts w:ascii="David" w:hAnsi="David" w:cs="David"/>
          <w:b/>
          <w:bCs/>
          <w:sz w:val="24"/>
          <w:szCs w:val="24"/>
          <w:rtl/>
        </w:rPr>
      </w:pPr>
      <w:r>
        <w:rPr>
          <w:rFonts w:ascii="David" w:hAnsi="David" w:cs="David"/>
          <w:b/>
          <w:bCs/>
          <w:sz w:val="24"/>
          <w:szCs w:val="24"/>
          <w:rtl/>
        </w:rPr>
        <w:t>זה תלוי מצב ולא גיל</w:t>
      </w:r>
    </w:p>
    <w:p w:rsidR="001D708C" w:rsidRDefault="001D708C" w:rsidP="001D708C">
      <w:pPr>
        <w:pStyle w:val="ad"/>
        <w:spacing w:line="360" w:lineRule="auto"/>
        <w:ind w:left="3240" w:firstLine="360"/>
        <w:jc w:val="both"/>
        <w:rPr>
          <w:rFonts w:ascii="David" w:hAnsi="David" w:cs="David"/>
          <w:b/>
          <w:bCs/>
          <w:sz w:val="24"/>
          <w:szCs w:val="24"/>
          <w:rtl/>
        </w:rPr>
      </w:pPr>
      <w:r>
        <w:rPr>
          <w:rFonts w:ascii="David" w:hAnsi="David" w:cs="David"/>
          <w:b/>
          <w:bCs/>
          <w:sz w:val="24"/>
          <w:szCs w:val="24"/>
          <w:rtl/>
        </w:rPr>
        <w:t>בהצלחה"</w:t>
      </w:r>
    </w:p>
    <w:p w:rsidR="001D708C" w:rsidRDefault="001D708C" w:rsidP="001D708C">
      <w:pPr>
        <w:pStyle w:val="ad"/>
        <w:spacing w:line="360" w:lineRule="auto"/>
        <w:ind w:left="1080"/>
        <w:jc w:val="both"/>
        <w:rPr>
          <w:rFonts w:ascii="David" w:hAnsi="David" w:cs="David"/>
          <w:sz w:val="24"/>
          <w:szCs w:val="24"/>
          <w:rtl/>
        </w:rPr>
      </w:pPr>
    </w:p>
    <w:p w:rsidR="001D708C" w:rsidRDefault="001D708C" w:rsidP="001D708C">
      <w:pPr>
        <w:pStyle w:val="ad"/>
        <w:spacing w:line="360" w:lineRule="auto"/>
        <w:ind w:left="395"/>
        <w:jc w:val="both"/>
        <w:rPr>
          <w:rFonts w:ascii="David" w:hAnsi="David" w:cs="David"/>
          <w:sz w:val="24"/>
          <w:szCs w:val="24"/>
          <w:rtl/>
        </w:rPr>
      </w:pPr>
      <w:r>
        <w:rPr>
          <w:rFonts w:ascii="David" w:hAnsi="David" w:cs="David"/>
          <w:sz w:val="24"/>
          <w:szCs w:val="24"/>
          <w:rtl/>
        </w:rPr>
        <w:t xml:space="preserve">בהמשך, פנתה התובעת פעם נוספת אל הנתבעת וביקשה "להגיע להסכמות ולהבנות באופן שיאפשר לה ולרווקות אחרות לשאול גם ספרים למבוגרים". </w:t>
      </w:r>
      <w:r>
        <w:rPr>
          <w:rFonts w:ascii="David" w:hAnsi="David" w:cs="David"/>
          <w:sz w:val="24"/>
          <w:szCs w:val="24"/>
          <w:u w:val="single"/>
          <w:rtl/>
        </w:rPr>
        <w:t>עיריית בני ברק התעלמה מהתובעת</w:t>
      </w:r>
      <w:r>
        <w:rPr>
          <w:rFonts w:ascii="David" w:hAnsi="David" w:cs="David"/>
          <w:sz w:val="24"/>
          <w:szCs w:val="24"/>
          <w:rtl/>
        </w:rPr>
        <w:t xml:space="preserve"> ולא השיבה לה כלל. </w:t>
      </w:r>
    </w:p>
    <w:p w:rsidR="001D708C" w:rsidRDefault="001D708C" w:rsidP="001D708C">
      <w:pPr>
        <w:pStyle w:val="ad"/>
        <w:spacing w:line="360" w:lineRule="auto"/>
        <w:ind w:left="1080"/>
        <w:jc w:val="both"/>
        <w:rPr>
          <w:rFonts w:ascii="David" w:hAnsi="David" w:cs="David"/>
          <w:sz w:val="24"/>
          <w:szCs w:val="24"/>
          <w:rtl/>
        </w:rPr>
      </w:pPr>
    </w:p>
    <w:p w:rsidR="001D708C" w:rsidRDefault="001D708C" w:rsidP="001D708C">
      <w:pPr>
        <w:pStyle w:val="ad"/>
        <w:numPr>
          <w:ilvl w:val="1"/>
          <w:numId w:val="1"/>
        </w:numPr>
        <w:spacing w:line="360" w:lineRule="auto"/>
        <w:ind w:left="395" w:hanging="567"/>
        <w:jc w:val="both"/>
        <w:rPr>
          <w:rFonts w:ascii="David" w:hAnsi="David" w:cs="David"/>
          <w:sz w:val="24"/>
          <w:szCs w:val="24"/>
          <w:rtl/>
        </w:rPr>
      </w:pPr>
      <w:r>
        <w:rPr>
          <w:rFonts w:ascii="David" w:hAnsi="David" w:cs="David"/>
          <w:sz w:val="24"/>
          <w:szCs w:val="24"/>
          <w:rtl/>
        </w:rPr>
        <w:t xml:space="preserve">ביום 5/12/2022 פנתה התובעת בכתב באמצעות ב"כ הקודם מטעם האגודה לזכויות האזרח. </w:t>
      </w:r>
      <w:r>
        <w:rPr>
          <w:rFonts w:ascii="David" w:hAnsi="David" w:cs="David"/>
          <w:sz w:val="24"/>
          <w:szCs w:val="24"/>
          <w:u w:val="single"/>
          <w:rtl/>
        </w:rPr>
        <w:t>עיריית בני ברק התעלמה מהתובעת</w:t>
      </w:r>
      <w:r>
        <w:rPr>
          <w:rFonts w:ascii="David" w:hAnsi="David" w:cs="David"/>
          <w:sz w:val="24"/>
          <w:szCs w:val="24"/>
          <w:rtl/>
        </w:rPr>
        <w:t xml:space="preserve"> ולא השיבה לה כלל.</w:t>
      </w:r>
    </w:p>
    <w:p w:rsidR="001D708C" w:rsidRDefault="001D708C" w:rsidP="001D708C">
      <w:pPr>
        <w:pStyle w:val="ad"/>
        <w:spacing w:line="360" w:lineRule="auto"/>
        <w:ind w:left="395"/>
        <w:jc w:val="both"/>
        <w:rPr>
          <w:rFonts w:ascii="David" w:hAnsi="David" w:cs="David"/>
          <w:sz w:val="24"/>
          <w:szCs w:val="24"/>
        </w:rPr>
      </w:pPr>
    </w:p>
    <w:p w:rsidR="001D708C" w:rsidRDefault="001D708C" w:rsidP="001D708C">
      <w:pPr>
        <w:pStyle w:val="ad"/>
        <w:numPr>
          <w:ilvl w:val="1"/>
          <w:numId w:val="1"/>
        </w:numPr>
        <w:spacing w:line="360" w:lineRule="auto"/>
        <w:ind w:left="395" w:hanging="567"/>
        <w:jc w:val="both"/>
        <w:rPr>
          <w:rFonts w:ascii="David" w:hAnsi="David" w:cs="David"/>
          <w:sz w:val="24"/>
          <w:szCs w:val="24"/>
        </w:rPr>
      </w:pPr>
      <w:r>
        <w:rPr>
          <w:rFonts w:ascii="David" w:hAnsi="David" w:cs="David"/>
          <w:sz w:val="24"/>
          <w:szCs w:val="24"/>
          <w:rtl/>
        </w:rPr>
        <w:t xml:space="preserve">התובעת טוענת שהנתבעת, בהתנהלותה, הפרה את הוראות </w:t>
      </w:r>
      <w:r>
        <w:rPr>
          <w:rFonts w:ascii="David" w:hAnsi="David" w:cs="David"/>
          <w:sz w:val="24"/>
          <w:szCs w:val="24"/>
          <w:u w:val="single"/>
          <w:rtl/>
        </w:rPr>
        <w:t>חוק איסור הפליה במוצרים, בשירותים ובכניסה למקומות בידור ולמקומות ציבוריים</w:t>
      </w:r>
      <w:r>
        <w:rPr>
          <w:rFonts w:ascii="David" w:hAnsi="David" w:cs="David"/>
          <w:sz w:val="24"/>
          <w:szCs w:val="24"/>
          <w:rtl/>
        </w:rPr>
        <w:t xml:space="preserve">, תשס"א – 2000 (להלן: </w:t>
      </w:r>
      <w:r>
        <w:rPr>
          <w:rFonts w:ascii="David" w:hAnsi="David" w:cs="David"/>
          <w:b/>
          <w:bCs/>
          <w:sz w:val="24"/>
          <w:szCs w:val="24"/>
          <w:u w:val="single"/>
          <w:rtl/>
        </w:rPr>
        <w:t>"חוק איסור הפליה במוצרים ובשירותים"</w:t>
      </w:r>
      <w:r>
        <w:rPr>
          <w:rFonts w:ascii="David" w:hAnsi="David" w:cs="David"/>
          <w:sz w:val="24"/>
          <w:szCs w:val="24"/>
          <w:rtl/>
        </w:rPr>
        <w:t>). התובעת מוסיפה וטוענת שהנתבעת הפלתה אותה מחמת מעמדה האישי כרווקה וכי "נפלה קרבן ליחס מפלה ומשפיל המהווה פגיעה ממשית בכבודה כאדם, ואשר גרם לה לחוש נבדלת ומופלית לרעה...". מכאן עותרת התובעת לפיצוי ללא הוכחת נזק בהתאם ל</w:t>
      </w:r>
      <w:r>
        <w:rPr>
          <w:rFonts w:ascii="David" w:hAnsi="David" w:cs="David"/>
          <w:sz w:val="24"/>
          <w:szCs w:val="24"/>
          <w:u w:val="single"/>
          <w:rtl/>
        </w:rPr>
        <w:t xml:space="preserve">חוק איסור </w:t>
      </w:r>
      <w:r>
        <w:rPr>
          <w:rFonts w:ascii="David" w:hAnsi="David" w:cs="David"/>
          <w:sz w:val="24"/>
          <w:szCs w:val="24"/>
          <w:u w:val="single"/>
          <w:rtl/>
        </w:rPr>
        <w:lastRenderedPageBreak/>
        <w:t>הפליה במוצרים ובשירותים</w:t>
      </w:r>
      <w:r>
        <w:rPr>
          <w:rFonts w:ascii="David" w:hAnsi="David" w:cs="David"/>
          <w:sz w:val="24"/>
          <w:szCs w:val="24"/>
          <w:rtl/>
        </w:rPr>
        <w:t xml:space="preserve"> בסך של 65,000 ₪ וכן לפיצוי בגין עגמת נפש בסך נוסף של 10,000 ₪ ובסה"כ – </w:t>
      </w:r>
      <w:r>
        <w:rPr>
          <w:rFonts w:ascii="David" w:hAnsi="David" w:cs="David"/>
          <w:b/>
          <w:bCs/>
          <w:sz w:val="24"/>
          <w:szCs w:val="24"/>
          <w:u w:val="single"/>
          <w:rtl/>
        </w:rPr>
        <w:t>75,000 ₪</w:t>
      </w:r>
      <w:r>
        <w:rPr>
          <w:rFonts w:ascii="David" w:hAnsi="David" w:cs="David"/>
          <w:sz w:val="24"/>
          <w:szCs w:val="24"/>
          <w:rtl/>
        </w:rPr>
        <w:t>(=10,000 + 65,000).</w:t>
      </w:r>
    </w:p>
    <w:p w:rsidR="001D708C" w:rsidRDefault="001D708C" w:rsidP="001D708C">
      <w:pPr>
        <w:pStyle w:val="ad"/>
        <w:spacing w:line="360" w:lineRule="auto"/>
        <w:ind w:left="1080"/>
        <w:jc w:val="both"/>
        <w:rPr>
          <w:rFonts w:ascii="David" w:hAnsi="David" w:cs="David"/>
          <w:sz w:val="24"/>
          <w:szCs w:val="24"/>
          <w:rtl/>
        </w:rPr>
      </w:pPr>
    </w:p>
    <w:p w:rsidR="001D708C" w:rsidRDefault="001D708C" w:rsidP="001D708C">
      <w:pPr>
        <w:pStyle w:val="ad"/>
        <w:numPr>
          <w:ilvl w:val="0"/>
          <w:numId w:val="1"/>
        </w:numPr>
        <w:spacing w:line="360" w:lineRule="auto"/>
        <w:ind w:left="-172" w:hanging="284"/>
        <w:jc w:val="both"/>
        <w:rPr>
          <w:rFonts w:ascii="David" w:hAnsi="David" w:cs="David"/>
          <w:sz w:val="24"/>
          <w:szCs w:val="24"/>
          <w:u w:val="single"/>
          <w:rtl/>
        </w:rPr>
      </w:pPr>
      <w:r>
        <w:rPr>
          <w:rFonts w:ascii="David" w:hAnsi="David" w:cs="David"/>
          <w:b/>
          <w:bCs/>
          <w:sz w:val="24"/>
          <w:szCs w:val="24"/>
          <w:u w:val="single"/>
          <w:rtl/>
        </w:rPr>
        <w:t>תמצית טענות הנתבעת</w:t>
      </w:r>
    </w:p>
    <w:p w:rsidR="001D708C" w:rsidRDefault="001D708C" w:rsidP="001D708C">
      <w:pPr>
        <w:pStyle w:val="ad"/>
        <w:numPr>
          <w:ilvl w:val="1"/>
          <w:numId w:val="1"/>
        </w:numPr>
        <w:spacing w:line="360" w:lineRule="auto"/>
        <w:ind w:left="395" w:hanging="567"/>
        <w:jc w:val="both"/>
        <w:rPr>
          <w:rFonts w:ascii="David" w:hAnsi="David" w:cs="David"/>
          <w:sz w:val="24"/>
          <w:szCs w:val="24"/>
        </w:rPr>
      </w:pPr>
      <w:r>
        <w:rPr>
          <w:rFonts w:ascii="David" w:hAnsi="David" w:cs="David"/>
          <w:sz w:val="24"/>
          <w:szCs w:val="24"/>
          <w:rtl/>
        </w:rPr>
        <w:t xml:space="preserve">הנתבעת הדגישה ש"הספריה אינה ספריה ציבורית גרידא, אלא מוגדרת באופן ייחודי כ"ספריה תורנית" חרדית, פועלת במגזר החרדי ובאה לתת מענה לצרכיו". מכאן, לדברי הנתבעת – </w:t>
      </w:r>
      <w:r>
        <w:rPr>
          <w:rFonts w:ascii="David" w:hAnsi="David" w:cs="David"/>
          <w:b/>
          <w:bCs/>
          <w:sz w:val="24"/>
          <w:szCs w:val="24"/>
          <w:rtl/>
        </w:rPr>
        <w:t>"כללי השימוש בה, הינם בהתאם למערכת ערכים תורנית הלכתית השונה מספריה ציבורית גרידא"</w:t>
      </w:r>
      <w:r>
        <w:rPr>
          <w:rFonts w:ascii="David" w:hAnsi="David" w:cs="David"/>
          <w:sz w:val="24"/>
          <w:szCs w:val="24"/>
          <w:rtl/>
        </w:rPr>
        <w:t>.</w:t>
      </w:r>
    </w:p>
    <w:p w:rsidR="001D708C" w:rsidRDefault="001D708C" w:rsidP="001D708C">
      <w:pPr>
        <w:pStyle w:val="ad"/>
        <w:spacing w:line="360" w:lineRule="auto"/>
        <w:ind w:left="188"/>
        <w:jc w:val="both"/>
        <w:rPr>
          <w:rFonts w:ascii="David" w:hAnsi="David" w:cs="David"/>
          <w:sz w:val="24"/>
          <w:szCs w:val="24"/>
        </w:rPr>
      </w:pPr>
    </w:p>
    <w:p w:rsidR="001D708C" w:rsidRDefault="001D708C" w:rsidP="001D708C">
      <w:pPr>
        <w:pStyle w:val="ad"/>
        <w:numPr>
          <w:ilvl w:val="1"/>
          <w:numId w:val="1"/>
        </w:numPr>
        <w:spacing w:line="360" w:lineRule="auto"/>
        <w:ind w:left="395" w:hanging="567"/>
        <w:jc w:val="both"/>
        <w:rPr>
          <w:rFonts w:ascii="David" w:hAnsi="David" w:cs="David"/>
          <w:sz w:val="24"/>
          <w:szCs w:val="24"/>
        </w:rPr>
      </w:pPr>
      <w:r>
        <w:rPr>
          <w:rFonts w:ascii="David" w:hAnsi="David" w:cs="David"/>
          <w:sz w:val="24"/>
          <w:szCs w:val="24"/>
          <w:rtl/>
        </w:rPr>
        <w:t xml:space="preserve">הנתבעת החליטה להתייחס לטענת ההפליה, דווקא </w:t>
      </w:r>
      <w:r>
        <w:rPr>
          <w:rFonts w:ascii="David" w:hAnsi="David" w:cs="David"/>
          <w:sz w:val="24"/>
          <w:szCs w:val="24"/>
          <w:u w:val="single"/>
          <w:rtl/>
        </w:rPr>
        <w:t>כאילו מדובר בהפליה מגדרית</w:t>
      </w:r>
      <w:r>
        <w:rPr>
          <w:rFonts w:ascii="David" w:hAnsi="David" w:cs="David"/>
          <w:sz w:val="24"/>
          <w:szCs w:val="24"/>
          <w:rtl/>
        </w:rPr>
        <w:t xml:space="preserve">. וכך - הנתבעת הבהירה שלא נמנע מהתובעת לשאול ספרים, אלא רק מנעו שאילת ספרים ספציפיים. מכאן אין כאן </w:t>
      </w:r>
      <w:r>
        <w:rPr>
          <w:rFonts w:ascii="David" w:hAnsi="David" w:cs="David"/>
          <w:sz w:val="24"/>
          <w:szCs w:val="24"/>
          <w:u w:val="single"/>
          <w:rtl/>
        </w:rPr>
        <w:t>הפליה מגדרית</w:t>
      </w:r>
      <w:r>
        <w:rPr>
          <w:rFonts w:ascii="David" w:hAnsi="David" w:cs="David"/>
          <w:sz w:val="24"/>
          <w:szCs w:val="24"/>
          <w:rtl/>
        </w:rPr>
        <w:t xml:space="preserve">. עוד הוסיפה הנתבעת, שאם יש מקום לתביעה הרי זו בגין "החלטה מינהלית בלתי סבירה" ואולם התביעה לא הוגשה בגין כך. הנתבעת הוסיפה בהמשך כתב התביעה והתייחסה לכך שאין </w:t>
      </w:r>
      <w:r>
        <w:rPr>
          <w:rFonts w:ascii="David" w:hAnsi="David" w:cs="David"/>
          <w:sz w:val="24"/>
          <w:szCs w:val="24"/>
          <w:u w:val="single"/>
          <w:rtl/>
        </w:rPr>
        <w:t>הפרדה מגדרית</w:t>
      </w:r>
      <w:r>
        <w:rPr>
          <w:rFonts w:ascii="David" w:hAnsi="David" w:cs="David"/>
          <w:sz w:val="24"/>
          <w:szCs w:val="24"/>
          <w:rtl/>
        </w:rPr>
        <w:t>. עוד הוסיפה הנתבעת וציינה ש</w:t>
      </w:r>
      <w:r>
        <w:rPr>
          <w:rFonts w:ascii="David" w:hAnsi="David" w:cs="David"/>
          <w:b/>
          <w:bCs/>
          <w:sz w:val="24"/>
          <w:szCs w:val="24"/>
          <w:rtl/>
        </w:rPr>
        <w:t>"הספריה, מעצם מהותה פועלת כהגדרתה, להתאמת התוכן לאישיות המשאיל ואין בכך כל נגיעה לנושא המגדר"</w:t>
      </w:r>
      <w:r>
        <w:rPr>
          <w:rFonts w:ascii="David" w:hAnsi="David" w:cs="David"/>
          <w:sz w:val="24"/>
          <w:szCs w:val="24"/>
          <w:rtl/>
        </w:rPr>
        <w:t>.</w:t>
      </w:r>
    </w:p>
    <w:p w:rsidR="001D708C" w:rsidRDefault="001D708C" w:rsidP="001D708C">
      <w:pPr>
        <w:pStyle w:val="ad"/>
        <w:rPr>
          <w:rFonts w:ascii="David" w:hAnsi="David" w:cs="David"/>
          <w:sz w:val="24"/>
          <w:szCs w:val="24"/>
        </w:rPr>
      </w:pPr>
    </w:p>
    <w:p w:rsidR="001D708C" w:rsidRDefault="001D708C" w:rsidP="001D708C">
      <w:pPr>
        <w:pStyle w:val="ad"/>
        <w:numPr>
          <w:ilvl w:val="1"/>
          <w:numId w:val="1"/>
        </w:numPr>
        <w:spacing w:line="360" w:lineRule="auto"/>
        <w:ind w:left="395" w:hanging="567"/>
        <w:jc w:val="both"/>
        <w:rPr>
          <w:rFonts w:ascii="David" w:hAnsi="David" w:cs="David"/>
          <w:sz w:val="24"/>
          <w:szCs w:val="24"/>
          <w:rtl/>
        </w:rPr>
      </w:pPr>
      <w:r>
        <w:rPr>
          <w:rFonts w:ascii="David" w:hAnsi="David" w:cs="David"/>
          <w:sz w:val="24"/>
          <w:szCs w:val="24"/>
          <w:rtl/>
        </w:rPr>
        <w:t>הנתבעת הסבירה בהדגשה בקו תחתי שהתביעה הוגשה "</w:t>
      </w:r>
      <w:r>
        <w:rPr>
          <w:rFonts w:ascii="David" w:hAnsi="David" w:cs="David"/>
          <w:b/>
          <w:bCs/>
          <w:sz w:val="24"/>
          <w:szCs w:val="24"/>
          <w:u w:val="single"/>
          <w:rtl/>
        </w:rPr>
        <w:t>בניגוד לעמדת התובעת והשקפתה</w:t>
      </w:r>
      <w:r>
        <w:rPr>
          <w:rFonts w:ascii="David" w:hAnsi="David" w:cs="David"/>
          <w:sz w:val="24"/>
          <w:szCs w:val="24"/>
          <w:rtl/>
        </w:rPr>
        <w:t>".</w:t>
      </w:r>
    </w:p>
    <w:p w:rsidR="001D708C" w:rsidRDefault="001D708C" w:rsidP="001D708C">
      <w:pPr>
        <w:pStyle w:val="ad"/>
        <w:rPr>
          <w:rFonts w:ascii="David" w:hAnsi="David" w:cs="David"/>
          <w:sz w:val="24"/>
          <w:szCs w:val="24"/>
        </w:rPr>
      </w:pPr>
    </w:p>
    <w:p w:rsidR="001D708C" w:rsidRDefault="001D708C" w:rsidP="001D708C">
      <w:pPr>
        <w:pStyle w:val="ad"/>
        <w:numPr>
          <w:ilvl w:val="1"/>
          <w:numId w:val="1"/>
        </w:numPr>
        <w:spacing w:line="360" w:lineRule="auto"/>
        <w:ind w:left="395" w:hanging="567"/>
        <w:jc w:val="both"/>
        <w:rPr>
          <w:rFonts w:ascii="David" w:hAnsi="David" w:cs="David"/>
          <w:sz w:val="24"/>
          <w:szCs w:val="24"/>
          <w:rtl/>
        </w:rPr>
      </w:pPr>
      <w:r>
        <w:rPr>
          <w:rFonts w:ascii="David" w:hAnsi="David" w:cs="David"/>
          <w:sz w:val="24"/>
          <w:szCs w:val="24"/>
          <w:rtl/>
        </w:rPr>
        <w:t>הנתבעת הוסיפה והפנתה אל "כללי ההשאלה", מבלי שאלה צורפו, ולכך ש</w:t>
      </w:r>
      <w:r>
        <w:rPr>
          <w:rFonts w:ascii="David" w:hAnsi="David" w:cs="David"/>
          <w:b/>
          <w:bCs/>
          <w:sz w:val="24"/>
          <w:szCs w:val="24"/>
          <w:rtl/>
        </w:rPr>
        <w:t>"המומחים להגדרתה הם גדולי תורה ומנחי המגזר"</w:t>
      </w:r>
      <w:r>
        <w:rPr>
          <w:rFonts w:ascii="David" w:hAnsi="David" w:cs="David"/>
          <w:sz w:val="24"/>
          <w:szCs w:val="24"/>
          <w:rtl/>
        </w:rPr>
        <w:t xml:space="preserve">. עוד טענה הנתבעת שכל החפץ לעשות שימוש בספריה כפוף לכללים אלה, וכי כללים אחרים </w:t>
      </w:r>
      <w:r>
        <w:rPr>
          <w:rFonts w:ascii="David" w:hAnsi="David" w:cs="David"/>
          <w:b/>
          <w:bCs/>
          <w:sz w:val="24"/>
          <w:szCs w:val="24"/>
          <w:rtl/>
        </w:rPr>
        <w:t>"אינם רלוונטיים"</w:t>
      </w:r>
      <w:r>
        <w:rPr>
          <w:rFonts w:ascii="David" w:hAnsi="David" w:cs="David"/>
          <w:sz w:val="24"/>
          <w:szCs w:val="24"/>
          <w:rtl/>
        </w:rPr>
        <w:t xml:space="preserve"> וכי אף התובעת קיבלה על עצמה </w:t>
      </w:r>
      <w:r>
        <w:rPr>
          <w:rFonts w:ascii="David" w:hAnsi="David" w:cs="David"/>
          <w:b/>
          <w:bCs/>
          <w:sz w:val="24"/>
          <w:szCs w:val="24"/>
          <w:rtl/>
        </w:rPr>
        <w:t>"עקרונות אלו"</w:t>
      </w:r>
      <w:r>
        <w:rPr>
          <w:rFonts w:ascii="David" w:hAnsi="David" w:cs="David"/>
          <w:sz w:val="24"/>
          <w:szCs w:val="24"/>
          <w:rtl/>
        </w:rPr>
        <w:t xml:space="preserve">. עוד ציינה הנתבעת כך – </w:t>
      </w:r>
      <w:r>
        <w:rPr>
          <w:rFonts w:ascii="David" w:hAnsi="David" w:cs="David"/>
          <w:b/>
          <w:bCs/>
          <w:sz w:val="24"/>
          <w:szCs w:val="24"/>
          <w:rtl/>
        </w:rPr>
        <w:t>"פסיקה עקבית קובעת כי בהמ"ש – וכל שכן צרכן בספריה - כאשר מדובר בשאלת ישות עקרונית, בהחלטות פרקטיות הנוגעות לגוף מנהלי, חלף שיקול דעת ההנהלה והחלטותיה. כך, שכל "הטיעונים" כנגד השאלת שני הספרים לוקים בהבנת המצב המשפטי הנכון"</w:t>
      </w:r>
      <w:r>
        <w:rPr>
          <w:rFonts w:ascii="David" w:hAnsi="David" w:cs="David"/>
          <w:sz w:val="24"/>
          <w:szCs w:val="24"/>
          <w:rtl/>
        </w:rPr>
        <w:t>.</w:t>
      </w:r>
    </w:p>
    <w:p w:rsidR="001D708C" w:rsidRDefault="001D708C" w:rsidP="001D708C">
      <w:pPr>
        <w:pStyle w:val="ad"/>
        <w:rPr>
          <w:rFonts w:ascii="David" w:hAnsi="David" w:cs="David"/>
          <w:sz w:val="24"/>
          <w:szCs w:val="24"/>
        </w:rPr>
      </w:pPr>
    </w:p>
    <w:p w:rsidR="001D708C" w:rsidRDefault="001D708C" w:rsidP="001D708C">
      <w:pPr>
        <w:pStyle w:val="ad"/>
        <w:numPr>
          <w:ilvl w:val="1"/>
          <w:numId w:val="1"/>
        </w:numPr>
        <w:spacing w:line="360" w:lineRule="auto"/>
        <w:ind w:left="395" w:hanging="567"/>
        <w:jc w:val="both"/>
        <w:rPr>
          <w:rFonts w:ascii="David" w:hAnsi="David" w:cs="David"/>
          <w:sz w:val="24"/>
          <w:szCs w:val="24"/>
          <w:rtl/>
        </w:rPr>
      </w:pPr>
      <w:r>
        <w:rPr>
          <w:rFonts w:ascii="David" w:hAnsi="David" w:cs="David"/>
          <w:sz w:val="24"/>
          <w:szCs w:val="24"/>
          <w:rtl/>
        </w:rPr>
        <w:t xml:space="preserve">הנתבעת הסכימה "לתיאור הטכני" של שני מקרי סירוב ההשאלה וציינה שהספריה פעלה בהתאם למהותה ועקרונותיה. באשר למקרה השני טוענת הנתבעת שהספר </w:t>
      </w:r>
      <w:r>
        <w:rPr>
          <w:rFonts w:ascii="David" w:hAnsi="David" w:cs="David"/>
          <w:b/>
          <w:bCs/>
          <w:sz w:val="24"/>
          <w:szCs w:val="24"/>
          <w:rtl/>
        </w:rPr>
        <w:t>"עוסק בשאלות של קשרי גבר ואישה שאינם מתאימים למצבה הרוחני של התובעת בשלב זה של חייה"</w:t>
      </w:r>
      <w:r>
        <w:rPr>
          <w:rFonts w:ascii="David" w:hAnsi="David" w:cs="David"/>
          <w:sz w:val="24"/>
          <w:szCs w:val="24"/>
          <w:rtl/>
        </w:rPr>
        <w:t>. לענין זה מפנה הנתבעת לנספח לכתב ההגנה ובו אמירות של מחברת הספר, אשר לטעמה תומכים דווקא בעמדתה. עוד מציינת הנתבעת ש</w:t>
      </w:r>
      <w:r>
        <w:rPr>
          <w:rFonts w:ascii="David" w:hAnsi="David" w:cs="David"/>
          <w:b/>
          <w:bCs/>
          <w:sz w:val="24"/>
          <w:szCs w:val="24"/>
          <w:rtl/>
        </w:rPr>
        <w:t>"הספר 'ירושלים הרים סביב לה' – מתאר את ירושלים כיעד, את ההרים כמשוכות הנפשיות, החברתיות, בנסיבות ייחודיות של הדמויות הספרותיות המורכבות. מאבק זה – נפשי, מחשבתי, פסיכולוגי, פילוסופי, עובדתי, הינו מורכב ביותר ומכאן בסיס השיקול שתואר לעיל"</w:t>
      </w:r>
      <w:r>
        <w:rPr>
          <w:rFonts w:ascii="David" w:hAnsi="David" w:cs="David"/>
          <w:sz w:val="24"/>
          <w:szCs w:val="24"/>
          <w:rtl/>
        </w:rPr>
        <w:t>.</w:t>
      </w:r>
    </w:p>
    <w:p w:rsidR="001D708C" w:rsidRDefault="001D708C" w:rsidP="001D708C">
      <w:pPr>
        <w:pStyle w:val="ad"/>
        <w:rPr>
          <w:rFonts w:ascii="David" w:hAnsi="David" w:cs="David"/>
          <w:sz w:val="24"/>
          <w:szCs w:val="24"/>
        </w:rPr>
      </w:pPr>
    </w:p>
    <w:p w:rsidR="001D708C" w:rsidRDefault="001D708C" w:rsidP="001D708C">
      <w:pPr>
        <w:pStyle w:val="ad"/>
        <w:numPr>
          <w:ilvl w:val="1"/>
          <w:numId w:val="1"/>
        </w:numPr>
        <w:spacing w:line="360" w:lineRule="auto"/>
        <w:ind w:left="395" w:hanging="567"/>
        <w:jc w:val="both"/>
        <w:rPr>
          <w:rFonts w:ascii="David" w:hAnsi="David" w:cs="David"/>
          <w:sz w:val="24"/>
          <w:szCs w:val="24"/>
          <w:rtl/>
        </w:rPr>
      </w:pPr>
      <w:r>
        <w:rPr>
          <w:rFonts w:ascii="David" w:hAnsi="David" w:cs="David"/>
          <w:sz w:val="24"/>
          <w:szCs w:val="24"/>
          <w:rtl/>
        </w:rPr>
        <w:t xml:space="preserve">הנתבעת מוסיפה ומציינת שלא היתה פגיעה בערכה העצמי של התובעת, לא היתה כל הפליה ובוודאי לא הפליה על בסיס מעמדה האישי של התובעת. טענות התובעת לענין זה – </w:t>
      </w:r>
      <w:r>
        <w:rPr>
          <w:rFonts w:ascii="David" w:hAnsi="David" w:cs="David"/>
          <w:b/>
          <w:bCs/>
          <w:sz w:val="24"/>
          <w:szCs w:val="24"/>
          <w:rtl/>
        </w:rPr>
        <w:t>"אלו מילים שנאמרו על מנת להכניס באופן מלאכותי ולא ראוי את המקרה למסגרת חוק האפליה</w:t>
      </w:r>
      <w:r>
        <w:rPr>
          <w:rFonts w:ascii="David" w:hAnsi="David" w:cs="David"/>
          <w:sz w:val="24"/>
          <w:szCs w:val="24"/>
          <w:rtl/>
        </w:rPr>
        <w:t>".</w:t>
      </w:r>
    </w:p>
    <w:p w:rsidR="001D708C" w:rsidRDefault="001D708C" w:rsidP="001D708C">
      <w:pPr>
        <w:pStyle w:val="ad"/>
        <w:spacing w:line="360" w:lineRule="auto"/>
        <w:ind w:left="395"/>
        <w:jc w:val="both"/>
        <w:rPr>
          <w:rFonts w:ascii="David" w:hAnsi="David" w:cs="David"/>
          <w:sz w:val="24"/>
          <w:szCs w:val="24"/>
        </w:rPr>
      </w:pPr>
    </w:p>
    <w:p w:rsidR="001D708C" w:rsidRDefault="001D708C" w:rsidP="001D708C">
      <w:pPr>
        <w:pStyle w:val="ad"/>
        <w:numPr>
          <w:ilvl w:val="1"/>
          <w:numId w:val="1"/>
        </w:numPr>
        <w:spacing w:line="360" w:lineRule="auto"/>
        <w:ind w:left="395" w:hanging="567"/>
        <w:jc w:val="both"/>
        <w:rPr>
          <w:rFonts w:ascii="David" w:hAnsi="David" w:cs="David"/>
          <w:sz w:val="24"/>
          <w:szCs w:val="24"/>
        </w:rPr>
      </w:pPr>
      <w:r>
        <w:rPr>
          <w:rFonts w:ascii="David" w:hAnsi="David" w:cs="David"/>
          <w:sz w:val="24"/>
          <w:szCs w:val="24"/>
          <w:rtl/>
        </w:rPr>
        <w:t xml:space="preserve">באשר לטענת עגמת הנפש, מבהירה הנתבעת שמדובר בטענות סרק וכלשונה – </w:t>
      </w:r>
      <w:r>
        <w:rPr>
          <w:rFonts w:ascii="David" w:hAnsi="David" w:cs="David"/>
          <w:b/>
          <w:bCs/>
          <w:sz w:val="24"/>
          <w:szCs w:val="24"/>
          <w:rtl/>
        </w:rPr>
        <w:t>"הדברים אמורים גם ביחס לטענת הסרק בדבר עוגמת נפש, הדברים אינם הגיוניים, אינם סבירים ואינם נכונים. כל שהוסבר לה הוא עמדת הספריה, בהתאם למהותה – מה לזה ולעוגמת נפש?"</w:t>
      </w:r>
      <w:r>
        <w:rPr>
          <w:rFonts w:ascii="David" w:hAnsi="David" w:cs="David"/>
          <w:sz w:val="24"/>
          <w:szCs w:val="24"/>
          <w:rtl/>
        </w:rPr>
        <w:t xml:space="preserve">. כך.     </w:t>
      </w:r>
    </w:p>
    <w:p w:rsidR="001D708C" w:rsidRDefault="001D708C" w:rsidP="001D708C">
      <w:pPr>
        <w:pStyle w:val="ad"/>
        <w:spacing w:line="360" w:lineRule="auto"/>
        <w:ind w:left="395"/>
        <w:jc w:val="both"/>
        <w:rPr>
          <w:rFonts w:ascii="David" w:hAnsi="David" w:cs="David"/>
          <w:sz w:val="24"/>
          <w:szCs w:val="24"/>
          <w:rtl/>
        </w:rPr>
      </w:pPr>
    </w:p>
    <w:p w:rsidR="001D708C" w:rsidRDefault="001D708C" w:rsidP="001D708C">
      <w:pPr>
        <w:pStyle w:val="ad"/>
        <w:spacing w:line="360" w:lineRule="auto"/>
        <w:ind w:left="-483"/>
        <w:jc w:val="both"/>
        <w:rPr>
          <w:rFonts w:ascii="David" w:hAnsi="David" w:cs="David"/>
          <w:sz w:val="24"/>
          <w:szCs w:val="24"/>
          <w:rtl/>
        </w:rPr>
      </w:pPr>
      <w:r>
        <w:rPr>
          <w:rFonts w:ascii="David" w:hAnsi="David" w:cs="David"/>
          <w:b/>
          <w:bCs/>
          <w:sz w:val="24"/>
          <w:szCs w:val="24"/>
          <w:rtl/>
        </w:rPr>
        <w:t>הערת מעבר – אין באמור לעיל כדי להביא מלוא טענות הצדדים, אך די בכך על מנת להציב המסד להמשך פסק הדין</w:t>
      </w:r>
      <w:r>
        <w:rPr>
          <w:rFonts w:ascii="David" w:hAnsi="David" w:cs="David"/>
          <w:sz w:val="24"/>
          <w:szCs w:val="24"/>
          <w:rtl/>
        </w:rPr>
        <w:t>.</w:t>
      </w:r>
    </w:p>
    <w:p w:rsidR="001D708C" w:rsidRDefault="001D708C" w:rsidP="001D708C">
      <w:pPr>
        <w:pStyle w:val="ad"/>
        <w:spacing w:line="360" w:lineRule="auto"/>
        <w:ind w:left="1080"/>
        <w:jc w:val="both"/>
        <w:rPr>
          <w:rFonts w:ascii="David" w:hAnsi="David" w:cs="David"/>
          <w:sz w:val="24"/>
          <w:szCs w:val="24"/>
          <w:rtl/>
        </w:rPr>
      </w:pPr>
    </w:p>
    <w:p w:rsidR="001D708C" w:rsidRDefault="001D708C" w:rsidP="001D708C">
      <w:pPr>
        <w:pStyle w:val="ad"/>
        <w:spacing w:line="360" w:lineRule="auto"/>
        <w:ind w:left="-456"/>
        <w:jc w:val="both"/>
        <w:rPr>
          <w:rFonts w:ascii="David" w:hAnsi="David" w:cs="David"/>
          <w:sz w:val="24"/>
          <w:szCs w:val="24"/>
          <w:rtl/>
        </w:rPr>
      </w:pPr>
      <w:r>
        <w:rPr>
          <w:rFonts w:ascii="David" w:hAnsi="David" w:cs="David"/>
          <w:b/>
          <w:bCs/>
          <w:sz w:val="28"/>
          <w:szCs w:val="28"/>
          <w:u w:val="single"/>
          <w:rtl/>
        </w:rPr>
        <w:t>חלק שני – דיון והכרעה</w:t>
      </w:r>
    </w:p>
    <w:p w:rsidR="001D708C" w:rsidRDefault="001D708C" w:rsidP="001D708C">
      <w:pPr>
        <w:pStyle w:val="ad"/>
        <w:numPr>
          <w:ilvl w:val="0"/>
          <w:numId w:val="1"/>
        </w:numPr>
        <w:spacing w:line="360" w:lineRule="auto"/>
        <w:ind w:left="-172" w:hanging="284"/>
        <w:jc w:val="both"/>
        <w:rPr>
          <w:rFonts w:ascii="David" w:hAnsi="David" w:cs="David"/>
          <w:sz w:val="24"/>
          <w:szCs w:val="24"/>
          <w:u w:val="single"/>
          <w:rtl/>
        </w:rPr>
      </w:pPr>
      <w:r>
        <w:rPr>
          <w:rFonts w:ascii="David" w:hAnsi="David" w:cs="David"/>
          <w:b/>
          <w:bCs/>
          <w:sz w:val="24"/>
          <w:szCs w:val="24"/>
          <w:u w:val="single"/>
          <w:rtl/>
        </w:rPr>
        <w:t>כללי – העדויות שנשמעו ומנגד העדים והראיות שחסרו;  ארבע השאלות העיקריות בהן יעסוק פסק הדין</w:t>
      </w:r>
    </w:p>
    <w:p w:rsidR="0046729D" w:rsidRPr="0046729D" w:rsidRDefault="0046729D" w:rsidP="0046729D">
      <w:pPr>
        <w:pStyle w:val="ad"/>
        <w:spacing w:line="360" w:lineRule="auto"/>
        <w:ind w:left="395"/>
        <w:jc w:val="both"/>
        <w:rPr>
          <w:rFonts w:ascii="David" w:hAnsi="David" w:cs="David"/>
          <w:sz w:val="24"/>
          <w:szCs w:val="24"/>
        </w:rPr>
      </w:pPr>
    </w:p>
    <w:p w:rsidR="001D708C" w:rsidRDefault="001D708C" w:rsidP="001D708C">
      <w:pPr>
        <w:pStyle w:val="ad"/>
        <w:numPr>
          <w:ilvl w:val="1"/>
          <w:numId w:val="1"/>
        </w:numPr>
        <w:spacing w:line="360" w:lineRule="auto"/>
        <w:ind w:left="395" w:hanging="567"/>
        <w:jc w:val="both"/>
        <w:rPr>
          <w:rFonts w:ascii="David" w:hAnsi="David" w:cs="David"/>
          <w:sz w:val="24"/>
          <w:szCs w:val="24"/>
        </w:rPr>
      </w:pPr>
      <w:r>
        <w:rPr>
          <w:rFonts w:ascii="David" w:hAnsi="David" w:cs="David"/>
          <w:b/>
          <w:bCs/>
          <w:sz w:val="24"/>
          <w:szCs w:val="24"/>
          <w:u w:val="single"/>
          <w:rtl/>
        </w:rPr>
        <w:t>שתי העדויות שנשמעו, והעדים ו</w:t>
      </w:r>
      <w:r w:rsidR="00D16378">
        <w:rPr>
          <w:rFonts w:ascii="David" w:hAnsi="David" w:cs="David" w:hint="cs"/>
          <w:b/>
          <w:bCs/>
          <w:sz w:val="24"/>
          <w:szCs w:val="24"/>
          <w:u w:val="single"/>
          <w:rtl/>
        </w:rPr>
        <w:t xml:space="preserve">כן </w:t>
      </w:r>
      <w:r>
        <w:rPr>
          <w:rFonts w:ascii="David" w:hAnsi="David" w:cs="David"/>
          <w:b/>
          <w:bCs/>
          <w:sz w:val="24"/>
          <w:szCs w:val="24"/>
          <w:u w:val="single"/>
          <w:rtl/>
        </w:rPr>
        <w:t>ראיות הנתבעת שכלל לא הובאו</w:t>
      </w:r>
    </w:p>
    <w:p w:rsidR="001D708C" w:rsidRDefault="001D708C" w:rsidP="001D708C">
      <w:pPr>
        <w:pStyle w:val="ad"/>
        <w:numPr>
          <w:ilvl w:val="0"/>
          <w:numId w:val="4"/>
        </w:numPr>
        <w:spacing w:line="360" w:lineRule="auto"/>
        <w:jc w:val="both"/>
        <w:rPr>
          <w:rFonts w:ascii="David" w:hAnsi="David" w:cs="David"/>
          <w:sz w:val="24"/>
          <w:szCs w:val="24"/>
        </w:rPr>
      </w:pPr>
      <w:r>
        <w:rPr>
          <w:rFonts w:ascii="David" w:hAnsi="David" w:cs="David"/>
          <w:sz w:val="24"/>
          <w:szCs w:val="24"/>
          <w:rtl/>
        </w:rPr>
        <w:t>במסגרת ההליך נשמעו שתי עדויות בלבד – עדותה של התובעת, ומנגד עדותו של מר יעקב רוזן</w:t>
      </w:r>
      <w:r w:rsidR="00D16378">
        <w:rPr>
          <w:rFonts w:ascii="David" w:hAnsi="David" w:cs="David" w:hint="cs"/>
          <w:sz w:val="24"/>
          <w:szCs w:val="24"/>
          <w:rtl/>
        </w:rPr>
        <w:t xml:space="preserve">, </w:t>
      </w:r>
      <w:r>
        <w:rPr>
          <w:rFonts w:ascii="David" w:hAnsi="David" w:cs="David"/>
          <w:sz w:val="24"/>
          <w:szCs w:val="24"/>
          <w:rtl/>
        </w:rPr>
        <w:t xml:space="preserve"> מנהל אגף תרבות בעיריית בני ברק.</w:t>
      </w:r>
    </w:p>
    <w:p w:rsidR="001D708C" w:rsidRDefault="001D708C" w:rsidP="001D708C">
      <w:pPr>
        <w:pStyle w:val="ad"/>
        <w:spacing w:line="360" w:lineRule="auto"/>
        <w:ind w:left="755"/>
        <w:jc w:val="both"/>
        <w:rPr>
          <w:rFonts w:ascii="David" w:hAnsi="David" w:cs="David"/>
          <w:sz w:val="24"/>
          <w:szCs w:val="24"/>
        </w:rPr>
      </w:pPr>
    </w:p>
    <w:p w:rsidR="001D708C" w:rsidRDefault="001D708C" w:rsidP="001D708C">
      <w:pPr>
        <w:pStyle w:val="ad"/>
        <w:numPr>
          <w:ilvl w:val="0"/>
          <w:numId w:val="4"/>
        </w:numPr>
        <w:spacing w:line="360" w:lineRule="auto"/>
        <w:jc w:val="both"/>
        <w:rPr>
          <w:rFonts w:ascii="David" w:hAnsi="David" w:cs="David"/>
          <w:sz w:val="24"/>
          <w:szCs w:val="24"/>
        </w:rPr>
      </w:pPr>
      <w:r>
        <w:rPr>
          <w:rFonts w:ascii="David" w:hAnsi="David" w:cs="David"/>
          <w:sz w:val="24"/>
          <w:szCs w:val="24"/>
          <w:rtl/>
        </w:rPr>
        <w:t>הנתבעת הסתפקה בעדותו של מנהל אגף התרבות, ולא הובאה הספרנית שאסרה ההשאלות ואשר קבעה איזה ספרים ייכנסו אל הארון האסור להשאלה. בגרסתה החסרה של הנתבעת בלטו במיוחד היעדרם של עדים רלוונטיים וראיות נדרשות, וכך למשל:</w:t>
      </w:r>
    </w:p>
    <w:p w:rsidR="001D708C" w:rsidRDefault="001D708C" w:rsidP="001D708C">
      <w:pPr>
        <w:pStyle w:val="ad"/>
        <w:rPr>
          <w:rFonts w:ascii="David" w:hAnsi="David" w:cs="David"/>
          <w:sz w:val="24"/>
          <w:szCs w:val="24"/>
        </w:rPr>
      </w:pPr>
    </w:p>
    <w:p w:rsidR="001D708C" w:rsidRDefault="001D708C" w:rsidP="001D708C">
      <w:pPr>
        <w:pStyle w:val="ad"/>
        <w:numPr>
          <w:ilvl w:val="0"/>
          <w:numId w:val="5"/>
        </w:numPr>
        <w:spacing w:line="360" w:lineRule="auto"/>
        <w:jc w:val="both"/>
        <w:rPr>
          <w:rFonts w:ascii="David" w:hAnsi="David" w:cs="David"/>
          <w:sz w:val="24"/>
          <w:szCs w:val="24"/>
          <w:rtl/>
        </w:rPr>
      </w:pPr>
      <w:r>
        <w:rPr>
          <w:rFonts w:ascii="David" w:hAnsi="David" w:cs="David"/>
          <w:b/>
          <w:bCs/>
          <w:sz w:val="24"/>
          <w:szCs w:val="24"/>
          <w:u w:val="single"/>
          <w:rtl/>
        </w:rPr>
        <w:t>אין כללים</w:t>
      </w:r>
      <w:r>
        <w:rPr>
          <w:rFonts w:ascii="David" w:hAnsi="David" w:cs="David"/>
          <w:sz w:val="24"/>
          <w:szCs w:val="24"/>
          <w:rtl/>
        </w:rPr>
        <w:t xml:space="preserve"> - הנתבעת לא המציאה </w:t>
      </w:r>
      <w:r>
        <w:rPr>
          <w:rFonts w:ascii="David" w:hAnsi="David" w:cs="David"/>
          <w:sz w:val="24"/>
          <w:szCs w:val="24"/>
          <w:u w:val="single"/>
          <w:rtl/>
        </w:rPr>
        <w:t>שום</w:t>
      </w:r>
      <w:r>
        <w:rPr>
          <w:rFonts w:ascii="David" w:hAnsi="David" w:cs="David"/>
          <w:sz w:val="24"/>
          <w:szCs w:val="24"/>
          <w:rtl/>
        </w:rPr>
        <w:t xml:space="preserve"> ראיה באשר לכללי הספריה אליה התייחסה בכתב ההגנה, כללים כאלה ככל הנראה אינם קיימים;</w:t>
      </w:r>
    </w:p>
    <w:p w:rsidR="001D708C" w:rsidRDefault="001D708C" w:rsidP="001D708C">
      <w:pPr>
        <w:pStyle w:val="ad"/>
        <w:spacing w:line="360" w:lineRule="auto"/>
        <w:ind w:left="1115"/>
        <w:jc w:val="both"/>
        <w:rPr>
          <w:rFonts w:ascii="David" w:hAnsi="David" w:cs="David"/>
          <w:sz w:val="24"/>
          <w:szCs w:val="24"/>
        </w:rPr>
      </w:pPr>
    </w:p>
    <w:p w:rsidR="001D708C" w:rsidRDefault="001D708C" w:rsidP="001D708C">
      <w:pPr>
        <w:pStyle w:val="ad"/>
        <w:numPr>
          <w:ilvl w:val="0"/>
          <w:numId w:val="5"/>
        </w:numPr>
        <w:spacing w:line="360" w:lineRule="auto"/>
        <w:jc w:val="both"/>
        <w:rPr>
          <w:rFonts w:ascii="David" w:hAnsi="David" w:cs="David"/>
          <w:sz w:val="24"/>
          <w:szCs w:val="24"/>
        </w:rPr>
      </w:pPr>
      <w:r>
        <w:rPr>
          <w:rFonts w:ascii="David" w:hAnsi="David" w:cs="David"/>
          <w:b/>
          <w:bCs/>
          <w:sz w:val="24"/>
          <w:szCs w:val="24"/>
          <w:u w:val="single"/>
          <w:rtl/>
        </w:rPr>
        <w:t>אין קריטריונים</w:t>
      </w:r>
      <w:r>
        <w:rPr>
          <w:rFonts w:ascii="David" w:hAnsi="David" w:cs="David"/>
          <w:sz w:val="24"/>
          <w:szCs w:val="24"/>
          <w:rtl/>
        </w:rPr>
        <w:t xml:space="preserve"> - הנתבעת אף לא הציגה רשימת קריטריונים שעל פיה נפסלים ספרים;</w:t>
      </w:r>
    </w:p>
    <w:p w:rsidR="001D708C" w:rsidRDefault="001D708C" w:rsidP="001D708C">
      <w:pPr>
        <w:pStyle w:val="ad"/>
        <w:spacing w:line="360" w:lineRule="auto"/>
        <w:ind w:left="1115"/>
        <w:jc w:val="both"/>
        <w:rPr>
          <w:rFonts w:ascii="David" w:hAnsi="David" w:cs="David"/>
          <w:sz w:val="24"/>
          <w:szCs w:val="24"/>
        </w:rPr>
      </w:pPr>
    </w:p>
    <w:p w:rsidR="001D708C" w:rsidRDefault="001D708C" w:rsidP="0046729D">
      <w:pPr>
        <w:pStyle w:val="ad"/>
        <w:numPr>
          <w:ilvl w:val="0"/>
          <w:numId w:val="5"/>
        </w:numPr>
        <w:spacing w:line="360" w:lineRule="auto"/>
        <w:jc w:val="both"/>
        <w:rPr>
          <w:rFonts w:ascii="David" w:hAnsi="David" w:cs="David"/>
          <w:sz w:val="24"/>
          <w:szCs w:val="24"/>
        </w:rPr>
      </w:pPr>
      <w:r>
        <w:rPr>
          <w:rFonts w:ascii="David" w:hAnsi="David" w:cs="David"/>
          <w:b/>
          <w:bCs/>
          <w:sz w:val="24"/>
          <w:szCs w:val="24"/>
          <w:u w:val="single"/>
          <w:rtl/>
        </w:rPr>
        <w:t>אין דיון פנימי והחלטה באשר לפסילת ספרים אסורים</w:t>
      </w:r>
      <w:r>
        <w:rPr>
          <w:rFonts w:ascii="David" w:hAnsi="David" w:cs="David"/>
          <w:sz w:val="24"/>
          <w:szCs w:val="24"/>
          <w:rtl/>
        </w:rPr>
        <w:t xml:space="preserve"> - הנתבעת לא המציאה </w:t>
      </w:r>
      <w:r>
        <w:rPr>
          <w:rFonts w:ascii="David" w:hAnsi="David" w:cs="David"/>
          <w:sz w:val="24"/>
          <w:szCs w:val="24"/>
          <w:u w:val="single"/>
          <w:rtl/>
        </w:rPr>
        <w:t>שום</w:t>
      </w:r>
      <w:r>
        <w:rPr>
          <w:rFonts w:ascii="David" w:hAnsi="David" w:cs="David"/>
          <w:sz w:val="24"/>
          <w:szCs w:val="24"/>
          <w:rtl/>
        </w:rPr>
        <w:t xml:space="preserve"> פרוטוקול דיון פנימי או מערך החלטה באשר לספרים האסורים, הקריטריונים שנבחנו וכן החלטה פנימית הקובעת שספר כזה או אחר אכן אסור לקריאה למי שחלילה לא נישא</w:t>
      </w:r>
      <w:r w:rsidR="0046729D">
        <w:rPr>
          <w:rFonts w:ascii="David" w:hAnsi="David" w:cs="David" w:hint="cs"/>
          <w:sz w:val="24"/>
          <w:szCs w:val="24"/>
          <w:rtl/>
        </w:rPr>
        <w:t>ה</w:t>
      </w:r>
      <w:r>
        <w:rPr>
          <w:rFonts w:ascii="David" w:hAnsi="David" w:cs="David"/>
          <w:sz w:val="24"/>
          <w:szCs w:val="24"/>
          <w:rtl/>
        </w:rPr>
        <w:t xml:space="preserve"> או לא נישא;</w:t>
      </w:r>
    </w:p>
    <w:p w:rsidR="001D708C" w:rsidRDefault="001D708C" w:rsidP="001D708C">
      <w:pPr>
        <w:pStyle w:val="ad"/>
        <w:rPr>
          <w:rFonts w:ascii="David" w:hAnsi="David" w:cs="David"/>
          <w:sz w:val="24"/>
          <w:szCs w:val="24"/>
        </w:rPr>
      </w:pPr>
    </w:p>
    <w:p w:rsidR="001D708C" w:rsidRDefault="001D708C" w:rsidP="001D708C">
      <w:pPr>
        <w:pStyle w:val="ad"/>
        <w:numPr>
          <w:ilvl w:val="0"/>
          <w:numId w:val="5"/>
        </w:numPr>
        <w:spacing w:line="360" w:lineRule="auto"/>
        <w:jc w:val="both"/>
        <w:rPr>
          <w:rFonts w:ascii="David" w:hAnsi="David" w:cs="David"/>
          <w:sz w:val="24"/>
          <w:szCs w:val="24"/>
          <w:rtl/>
        </w:rPr>
      </w:pPr>
      <w:r>
        <w:rPr>
          <w:rFonts w:ascii="David" w:hAnsi="David" w:cs="David"/>
          <w:b/>
          <w:bCs/>
          <w:sz w:val="24"/>
          <w:szCs w:val="24"/>
          <w:u w:val="single"/>
          <w:rtl/>
        </w:rPr>
        <w:t>אפילו הספרים האסורים עצמם לא הוצגו</w:t>
      </w:r>
      <w:r>
        <w:rPr>
          <w:rFonts w:ascii="David" w:hAnsi="David" w:cs="David"/>
          <w:sz w:val="24"/>
          <w:szCs w:val="24"/>
          <w:rtl/>
        </w:rPr>
        <w:t xml:space="preserve"> – הנתבעת הקפידה אפילו להסתיר </w:t>
      </w:r>
      <w:r w:rsidR="0041156C">
        <w:rPr>
          <w:rFonts w:ascii="David" w:hAnsi="David" w:cs="David"/>
          <w:sz w:val="24"/>
          <w:szCs w:val="24"/>
          <w:rtl/>
        </w:rPr>
        <w:t>את רשימת הספרים האסורים</w:t>
      </w:r>
      <w:r w:rsidR="00D16378">
        <w:rPr>
          <w:rFonts w:ascii="David" w:hAnsi="David" w:cs="David" w:hint="cs"/>
          <w:sz w:val="24"/>
          <w:szCs w:val="24"/>
          <w:rtl/>
        </w:rPr>
        <w:t>,</w:t>
      </w:r>
      <w:r w:rsidR="0041156C">
        <w:rPr>
          <w:rFonts w:ascii="David" w:hAnsi="David" w:cs="David"/>
          <w:sz w:val="24"/>
          <w:szCs w:val="24"/>
          <w:rtl/>
        </w:rPr>
        <w:t xml:space="preserve"> וכן את </w:t>
      </w:r>
      <w:r>
        <w:rPr>
          <w:rFonts w:ascii="David" w:hAnsi="David" w:cs="David"/>
          <w:sz w:val="24"/>
          <w:szCs w:val="24"/>
          <w:rtl/>
        </w:rPr>
        <w:t xml:space="preserve">שני הספרים האסורים בהם נתקלה התובעת. כך שלא ניתן היה בכלל להתרשם מספרים אלה. במהלך חקירתו של נציג הנתבעת, התברר שאפילו הוא, ככל הנראה, כלל לא ראה את הספרים. </w:t>
      </w:r>
    </w:p>
    <w:p w:rsidR="0046729D" w:rsidRPr="0046729D" w:rsidRDefault="0046729D" w:rsidP="0046729D">
      <w:pPr>
        <w:pStyle w:val="ad"/>
        <w:spacing w:line="360" w:lineRule="auto"/>
        <w:ind w:left="1115"/>
        <w:jc w:val="both"/>
        <w:rPr>
          <w:rFonts w:ascii="David" w:hAnsi="David" w:cs="David"/>
          <w:sz w:val="24"/>
          <w:szCs w:val="24"/>
        </w:rPr>
      </w:pPr>
    </w:p>
    <w:p w:rsidR="001D708C" w:rsidRDefault="001D708C" w:rsidP="001D708C">
      <w:pPr>
        <w:pStyle w:val="ad"/>
        <w:numPr>
          <w:ilvl w:val="0"/>
          <w:numId w:val="5"/>
        </w:numPr>
        <w:spacing w:line="360" w:lineRule="auto"/>
        <w:jc w:val="both"/>
        <w:rPr>
          <w:rFonts w:ascii="David" w:hAnsi="David" w:cs="David"/>
          <w:sz w:val="24"/>
          <w:szCs w:val="24"/>
        </w:rPr>
      </w:pPr>
      <w:r>
        <w:rPr>
          <w:rFonts w:ascii="David" w:hAnsi="David" w:cs="David"/>
          <w:b/>
          <w:bCs/>
          <w:sz w:val="24"/>
          <w:szCs w:val="24"/>
          <w:u w:val="single"/>
          <w:rtl/>
        </w:rPr>
        <w:t>האמירה בדבר "גדולי התורה ומנחי המגזר" שראיה באשר אליהם כלל לא הובאה הצטמצמה להפניה סתמית אל הספרנית</w:t>
      </w:r>
      <w:r>
        <w:rPr>
          <w:rFonts w:ascii="David" w:hAnsi="David" w:cs="David"/>
          <w:sz w:val="24"/>
          <w:szCs w:val="24"/>
          <w:rtl/>
        </w:rPr>
        <w:t xml:space="preserve"> - הנתבעת הפנתה בכתב ההגנה אל "גדולי התורה ומנחי המגזר" ואולם איש מאלה שמיישמים את דבריהם לא הגיע. גם "דבריהם" של "מנחי </w:t>
      </w:r>
      <w:r>
        <w:rPr>
          <w:rFonts w:ascii="David" w:hAnsi="David" w:cs="David"/>
          <w:sz w:val="24"/>
          <w:szCs w:val="24"/>
          <w:rtl/>
        </w:rPr>
        <w:lastRenderedPageBreak/>
        <w:t>המגזר" כלל לא הובהרו. יתרה מכך, בחקירה הנגדית של נציג הנתבעת התברר שאותם "גדולי התורה ומנחי המגזר" הם למעשה הספרנית בספריה;</w:t>
      </w:r>
    </w:p>
    <w:p w:rsidR="001D708C" w:rsidRDefault="001D708C" w:rsidP="001D708C">
      <w:pPr>
        <w:pStyle w:val="ad"/>
        <w:spacing w:line="360" w:lineRule="auto"/>
        <w:ind w:left="1115"/>
        <w:jc w:val="both"/>
        <w:rPr>
          <w:rFonts w:ascii="David" w:hAnsi="David" w:cs="David"/>
          <w:sz w:val="24"/>
          <w:szCs w:val="24"/>
        </w:rPr>
      </w:pPr>
    </w:p>
    <w:p w:rsidR="001D708C" w:rsidRDefault="001D708C" w:rsidP="001D708C">
      <w:pPr>
        <w:pStyle w:val="ad"/>
        <w:numPr>
          <w:ilvl w:val="0"/>
          <w:numId w:val="5"/>
        </w:numPr>
        <w:spacing w:line="360" w:lineRule="auto"/>
        <w:jc w:val="both"/>
        <w:rPr>
          <w:rFonts w:ascii="David" w:hAnsi="David" w:cs="David"/>
          <w:sz w:val="24"/>
          <w:szCs w:val="24"/>
        </w:rPr>
      </w:pPr>
      <w:r>
        <w:rPr>
          <w:rFonts w:ascii="David" w:hAnsi="David" w:cs="David"/>
          <w:b/>
          <w:bCs/>
          <w:sz w:val="24"/>
          <w:szCs w:val="24"/>
          <w:u w:val="single"/>
          <w:rtl/>
        </w:rPr>
        <w:t>וכאמור, גם הספרנית הוסתרה ולא הובאה</w:t>
      </w:r>
      <w:r>
        <w:rPr>
          <w:rFonts w:ascii="David" w:hAnsi="David" w:cs="David"/>
          <w:sz w:val="24"/>
          <w:szCs w:val="24"/>
          <w:rtl/>
        </w:rPr>
        <w:t xml:space="preserve"> - ואפילו הספרנית אשר שללה את זכויותיה של התובעת הוסתרה על ידי הנתבעת ולא העידה.     </w:t>
      </w:r>
    </w:p>
    <w:p w:rsidR="001D708C" w:rsidRDefault="001D708C" w:rsidP="001D708C">
      <w:pPr>
        <w:pStyle w:val="ad"/>
        <w:spacing w:line="360" w:lineRule="auto"/>
        <w:ind w:left="395"/>
        <w:jc w:val="both"/>
        <w:rPr>
          <w:rFonts w:ascii="David" w:hAnsi="David" w:cs="David"/>
          <w:sz w:val="24"/>
          <w:szCs w:val="24"/>
          <w:u w:val="single"/>
          <w:rtl/>
        </w:rPr>
      </w:pPr>
    </w:p>
    <w:p w:rsidR="001D708C" w:rsidRDefault="001D708C" w:rsidP="001D708C">
      <w:pPr>
        <w:pStyle w:val="ad"/>
        <w:numPr>
          <w:ilvl w:val="1"/>
          <w:numId w:val="1"/>
        </w:numPr>
        <w:spacing w:line="360" w:lineRule="auto"/>
        <w:ind w:left="395" w:hanging="567"/>
        <w:jc w:val="both"/>
        <w:rPr>
          <w:rFonts w:ascii="David" w:hAnsi="David" w:cs="David"/>
          <w:sz w:val="24"/>
          <w:szCs w:val="24"/>
        </w:rPr>
      </w:pPr>
      <w:r>
        <w:rPr>
          <w:rFonts w:ascii="David" w:hAnsi="David" w:cs="David"/>
          <w:b/>
          <w:bCs/>
          <w:sz w:val="24"/>
          <w:szCs w:val="24"/>
          <w:u w:val="single"/>
          <w:rtl/>
        </w:rPr>
        <w:t>ארבע השאלות העיקריות בהן יעסוק פסק הדין</w:t>
      </w:r>
    </w:p>
    <w:p w:rsidR="001D708C" w:rsidRDefault="001D708C" w:rsidP="001D708C">
      <w:pPr>
        <w:pStyle w:val="ad"/>
        <w:spacing w:line="360" w:lineRule="auto"/>
        <w:ind w:left="395"/>
        <w:jc w:val="both"/>
        <w:rPr>
          <w:rFonts w:ascii="David" w:hAnsi="David" w:cs="David"/>
          <w:sz w:val="24"/>
          <w:szCs w:val="24"/>
        </w:rPr>
      </w:pPr>
      <w:r>
        <w:rPr>
          <w:rFonts w:ascii="David" w:hAnsi="David" w:cs="David"/>
          <w:sz w:val="24"/>
          <w:szCs w:val="24"/>
          <w:rtl/>
        </w:rPr>
        <w:t>פסק הדין יעסוק בארבע שאלות העיקריות, כאשר הדיון בהן יכלול, מטבע הדברים, גם דיון והכרעה בשאלות משנה נוספות. ארבע השאלות בהן ידון ויכריע פסק הדין הן כדלקמן:</w:t>
      </w:r>
    </w:p>
    <w:p w:rsidR="001D708C" w:rsidRDefault="001D708C" w:rsidP="001D708C">
      <w:pPr>
        <w:pStyle w:val="ad"/>
        <w:spacing w:line="360" w:lineRule="auto"/>
        <w:ind w:left="395"/>
        <w:jc w:val="both"/>
        <w:rPr>
          <w:rFonts w:ascii="David" w:hAnsi="David" w:cs="David"/>
          <w:sz w:val="24"/>
          <w:szCs w:val="24"/>
        </w:rPr>
      </w:pPr>
      <w:r>
        <w:rPr>
          <w:rFonts w:ascii="David" w:hAnsi="David" w:cs="David"/>
          <w:sz w:val="24"/>
          <w:szCs w:val="24"/>
          <w:rtl/>
        </w:rPr>
        <w:t xml:space="preserve"> </w:t>
      </w:r>
    </w:p>
    <w:p w:rsidR="001D708C" w:rsidRDefault="001D708C" w:rsidP="001D708C">
      <w:pPr>
        <w:pStyle w:val="ad"/>
        <w:numPr>
          <w:ilvl w:val="0"/>
          <w:numId w:val="6"/>
        </w:numPr>
        <w:spacing w:line="360" w:lineRule="auto"/>
        <w:jc w:val="both"/>
        <w:rPr>
          <w:rFonts w:ascii="David" w:hAnsi="David" w:cs="David"/>
          <w:sz w:val="24"/>
          <w:szCs w:val="24"/>
          <w:rtl/>
        </w:rPr>
      </w:pPr>
      <w:r>
        <w:rPr>
          <w:rFonts w:ascii="David" w:hAnsi="David" w:cs="David"/>
          <w:sz w:val="24"/>
          <w:szCs w:val="24"/>
          <w:u w:val="single"/>
          <w:rtl/>
        </w:rPr>
        <w:t>שאלה ראשונה מארבע (דיון בסעיף 5 להלן)</w:t>
      </w:r>
      <w:r>
        <w:rPr>
          <w:rFonts w:ascii="David" w:hAnsi="David" w:cs="David"/>
          <w:sz w:val="24"/>
          <w:szCs w:val="24"/>
          <w:rtl/>
        </w:rPr>
        <w:t xml:space="preserve">  – האם היחס אותו קיבלה התובעת, הוא יחס מבחין המבדיל אותה מכלל הציבור?</w:t>
      </w:r>
    </w:p>
    <w:p w:rsidR="001D708C" w:rsidRDefault="001D708C" w:rsidP="001D708C">
      <w:pPr>
        <w:pStyle w:val="ad"/>
        <w:spacing w:line="360" w:lineRule="auto"/>
        <w:ind w:left="395"/>
        <w:jc w:val="both"/>
        <w:rPr>
          <w:rFonts w:ascii="David" w:hAnsi="David" w:cs="David"/>
          <w:sz w:val="24"/>
          <w:szCs w:val="24"/>
        </w:rPr>
      </w:pPr>
    </w:p>
    <w:p w:rsidR="001D708C" w:rsidRDefault="001D708C" w:rsidP="001D708C">
      <w:pPr>
        <w:pStyle w:val="ad"/>
        <w:numPr>
          <w:ilvl w:val="0"/>
          <w:numId w:val="6"/>
        </w:numPr>
        <w:spacing w:line="360" w:lineRule="auto"/>
        <w:jc w:val="both"/>
        <w:rPr>
          <w:rFonts w:ascii="David" w:hAnsi="David" w:cs="David"/>
          <w:sz w:val="24"/>
          <w:szCs w:val="24"/>
          <w:rtl/>
        </w:rPr>
      </w:pPr>
      <w:r>
        <w:rPr>
          <w:rFonts w:ascii="David" w:hAnsi="David" w:cs="David"/>
          <w:sz w:val="24"/>
          <w:szCs w:val="24"/>
          <w:u w:val="single"/>
          <w:rtl/>
        </w:rPr>
        <w:t>שאלה שניה מארבע (דיון בסעיף 6 להלן)</w:t>
      </w:r>
      <w:r>
        <w:rPr>
          <w:rFonts w:ascii="David" w:hAnsi="David" w:cs="David"/>
          <w:sz w:val="24"/>
          <w:szCs w:val="24"/>
          <w:rtl/>
        </w:rPr>
        <w:t xml:space="preserve">  – ככל שהתובעת אכן קיבלה יחס</w:t>
      </w:r>
      <w:r w:rsidR="0046729D">
        <w:rPr>
          <w:rFonts w:ascii="David" w:hAnsi="David" w:cs="David" w:hint="cs"/>
          <w:sz w:val="24"/>
          <w:szCs w:val="24"/>
          <w:rtl/>
        </w:rPr>
        <w:t xml:space="preserve"> מבחין</w:t>
      </w:r>
      <w:r>
        <w:rPr>
          <w:rFonts w:ascii="David" w:hAnsi="David" w:cs="David"/>
          <w:sz w:val="24"/>
          <w:szCs w:val="24"/>
          <w:rtl/>
        </w:rPr>
        <w:t xml:space="preserve"> המבדיל אותה מכלל הציבור, מה היו הקריטריונים לאותה הבחנה והבדלה? כיצד יושמו אותם קריטריונים ומה היה הליך הבדיקה עד להכרזה על ספרים האסורים לתובעת?</w:t>
      </w:r>
    </w:p>
    <w:p w:rsidR="001D708C" w:rsidRDefault="001D708C" w:rsidP="001D708C">
      <w:pPr>
        <w:pStyle w:val="ad"/>
        <w:spacing w:line="360" w:lineRule="auto"/>
        <w:ind w:left="395"/>
        <w:jc w:val="both"/>
        <w:rPr>
          <w:rFonts w:ascii="David" w:hAnsi="David" w:cs="David"/>
          <w:sz w:val="24"/>
          <w:szCs w:val="24"/>
        </w:rPr>
      </w:pPr>
    </w:p>
    <w:p w:rsidR="001D708C" w:rsidRDefault="001D708C" w:rsidP="001D708C">
      <w:pPr>
        <w:pStyle w:val="ad"/>
        <w:numPr>
          <w:ilvl w:val="0"/>
          <w:numId w:val="6"/>
        </w:numPr>
        <w:spacing w:line="360" w:lineRule="auto"/>
        <w:jc w:val="both"/>
        <w:rPr>
          <w:rFonts w:ascii="David" w:hAnsi="David" w:cs="David"/>
          <w:sz w:val="24"/>
          <w:szCs w:val="24"/>
          <w:rtl/>
        </w:rPr>
      </w:pPr>
      <w:r>
        <w:rPr>
          <w:rFonts w:ascii="David" w:hAnsi="David" w:cs="David"/>
          <w:sz w:val="24"/>
          <w:szCs w:val="24"/>
          <w:u w:val="single"/>
          <w:rtl/>
        </w:rPr>
        <w:t>שאלה שלישית מארבע (דיון בסעיף 7 להלן)</w:t>
      </w:r>
      <w:r>
        <w:rPr>
          <w:rFonts w:ascii="David" w:hAnsi="David" w:cs="David"/>
          <w:sz w:val="24"/>
          <w:szCs w:val="24"/>
          <w:rtl/>
        </w:rPr>
        <w:t xml:space="preserve">  – בהמשך לשתי השאלות הראשונות וככל שהתובעת קיבלה יחס מבחין המבדיל אותה מכלל הציבור – האם מדובר בהתנהלות שהיא בגדר הפליה כמשמעה ב</w:t>
      </w:r>
      <w:r>
        <w:rPr>
          <w:rFonts w:ascii="David" w:hAnsi="David" w:cs="David"/>
          <w:sz w:val="24"/>
          <w:szCs w:val="24"/>
          <w:u w:val="single"/>
          <w:rtl/>
        </w:rPr>
        <w:t>חוק איסור הפליה במוצרים ובשירותים</w:t>
      </w:r>
      <w:r>
        <w:rPr>
          <w:rFonts w:ascii="David" w:hAnsi="David" w:cs="David"/>
          <w:sz w:val="24"/>
          <w:szCs w:val="24"/>
          <w:rtl/>
        </w:rPr>
        <w:t>?</w:t>
      </w:r>
    </w:p>
    <w:p w:rsidR="001D708C" w:rsidRDefault="001D708C" w:rsidP="001D708C">
      <w:pPr>
        <w:pStyle w:val="ad"/>
        <w:rPr>
          <w:rFonts w:ascii="David" w:hAnsi="David" w:cs="David"/>
          <w:sz w:val="24"/>
          <w:szCs w:val="24"/>
        </w:rPr>
      </w:pPr>
    </w:p>
    <w:p w:rsidR="001D708C" w:rsidRDefault="001D708C" w:rsidP="001D708C">
      <w:pPr>
        <w:pStyle w:val="ad"/>
        <w:numPr>
          <w:ilvl w:val="0"/>
          <w:numId w:val="6"/>
        </w:numPr>
        <w:spacing w:line="360" w:lineRule="auto"/>
        <w:jc w:val="both"/>
        <w:rPr>
          <w:rFonts w:ascii="David" w:hAnsi="David" w:cs="David"/>
          <w:sz w:val="24"/>
          <w:szCs w:val="24"/>
          <w:rtl/>
        </w:rPr>
      </w:pPr>
      <w:r>
        <w:rPr>
          <w:rFonts w:ascii="David" w:hAnsi="David" w:cs="David"/>
          <w:sz w:val="24"/>
          <w:szCs w:val="24"/>
          <w:u w:val="single"/>
          <w:rtl/>
        </w:rPr>
        <w:t>שאלה רביעית מארבע (דיון בסעיף 8 להלן)</w:t>
      </w:r>
      <w:r>
        <w:rPr>
          <w:rFonts w:ascii="David" w:hAnsi="David" w:cs="David"/>
          <w:sz w:val="24"/>
          <w:szCs w:val="24"/>
          <w:rtl/>
        </w:rPr>
        <w:t xml:space="preserve"> -  ככל שיתברר שמדובר בהפליה כמשמעה ב</w:t>
      </w:r>
      <w:r>
        <w:rPr>
          <w:rFonts w:ascii="David" w:hAnsi="David" w:cs="David"/>
          <w:sz w:val="24"/>
          <w:szCs w:val="24"/>
          <w:u w:val="single"/>
          <w:rtl/>
        </w:rPr>
        <w:t>חוק איסור הפליה במוצרים ובשירותים</w:t>
      </w:r>
      <w:r>
        <w:rPr>
          <w:rFonts w:ascii="David" w:hAnsi="David" w:cs="David"/>
          <w:sz w:val="24"/>
          <w:szCs w:val="24"/>
          <w:rtl/>
        </w:rPr>
        <w:t xml:space="preserve"> -  מה הסעד לו זכאית התובעת? וכן, האם יש לקבוע לתובעת סעד של פיצוי בגין עגמת נפש</w:t>
      </w:r>
      <w:r w:rsidR="00D16378">
        <w:rPr>
          <w:rFonts w:ascii="David" w:hAnsi="David" w:cs="David" w:hint="cs"/>
          <w:sz w:val="24"/>
          <w:szCs w:val="24"/>
          <w:rtl/>
        </w:rPr>
        <w:t>,</w:t>
      </w:r>
      <w:r>
        <w:rPr>
          <w:rFonts w:ascii="David" w:hAnsi="David" w:cs="David"/>
          <w:sz w:val="24"/>
          <w:szCs w:val="24"/>
          <w:rtl/>
        </w:rPr>
        <w:t xml:space="preserve"> וזאת בנוסף לסעדי החוק לאיסור הפליה?</w:t>
      </w:r>
    </w:p>
    <w:p w:rsidR="001D708C" w:rsidRDefault="001D708C" w:rsidP="001D708C">
      <w:pPr>
        <w:pStyle w:val="ad"/>
        <w:spacing w:line="360" w:lineRule="auto"/>
        <w:ind w:left="395"/>
        <w:jc w:val="both"/>
        <w:rPr>
          <w:rFonts w:ascii="David" w:hAnsi="David" w:cs="David"/>
          <w:sz w:val="24"/>
          <w:szCs w:val="24"/>
          <w:u w:val="single"/>
        </w:rPr>
      </w:pPr>
    </w:p>
    <w:p w:rsidR="001D708C" w:rsidRDefault="001D708C" w:rsidP="001D708C">
      <w:pPr>
        <w:pStyle w:val="ad"/>
        <w:numPr>
          <w:ilvl w:val="0"/>
          <w:numId w:val="1"/>
        </w:numPr>
        <w:spacing w:line="360" w:lineRule="auto"/>
        <w:ind w:left="-172" w:hanging="284"/>
        <w:jc w:val="both"/>
        <w:rPr>
          <w:rFonts w:ascii="David" w:hAnsi="David" w:cs="David"/>
          <w:sz w:val="24"/>
          <w:szCs w:val="24"/>
        </w:rPr>
      </w:pPr>
      <w:r>
        <w:rPr>
          <w:rFonts w:ascii="David" w:hAnsi="David" w:cs="David"/>
          <w:b/>
          <w:bCs/>
          <w:sz w:val="24"/>
          <w:szCs w:val="24"/>
          <w:u w:val="single"/>
          <w:rtl/>
        </w:rPr>
        <w:t>דיון בשאלה ראשונה מארבע - האם היחס שקיבלה התובעת, הוא יחס מבחין המבדיל אותה מכלל הציבור?</w:t>
      </w:r>
    </w:p>
    <w:p w:rsidR="001D708C" w:rsidRDefault="001D708C" w:rsidP="001D708C">
      <w:pPr>
        <w:pStyle w:val="ad"/>
        <w:numPr>
          <w:ilvl w:val="1"/>
          <w:numId w:val="1"/>
        </w:numPr>
        <w:spacing w:line="360" w:lineRule="auto"/>
        <w:ind w:left="395" w:hanging="426"/>
        <w:jc w:val="both"/>
        <w:rPr>
          <w:rFonts w:ascii="David" w:hAnsi="David" w:cs="David"/>
          <w:sz w:val="24"/>
          <w:szCs w:val="24"/>
        </w:rPr>
      </w:pPr>
      <w:r>
        <w:rPr>
          <w:rFonts w:ascii="David" w:hAnsi="David" w:cs="David"/>
          <w:sz w:val="24"/>
          <w:szCs w:val="24"/>
          <w:rtl/>
        </w:rPr>
        <w:t xml:space="preserve">בתחילתו ובסופו של יום, התובעת, בת 26 שנים במועדים הרלוונטיים לתביעה, ביקשה לשאול ספרים מסוימים המותרים לקריאה בציבור. ספרים אלה נשללו ממנה להשאלה. </w:t>
      </w:r>
    </w:p>
    <w:p w:rsidR="001D708C" w:rsidRDefault="001D708C" w:rsidP="001D708C">
      <w:pPr>
        <w:pStyle w:val="ad"/>
        <w:spacing w:line="360" w:lineRule="auto"/>
        <w:ind w:left="395"/>
        <w:jc w:val="both"/>
        <w:rPr>
          <w:rFonts w:ascii="David" w:hAnsi="David" w:cs="David"/>
          <w:sz w:val="24"/>
          <w:szCs w:val="24"/>
        </w:rPr>
      </w:pPr>
    </w:p>
    <w:p w:rsidR="001D708C" w:rsidRDefault="001D708C" w:rsidP="001D708C">
      <w:pPr>
        <w:pStyle w:val="ad"/>
        <w:numPr>
          <w:ilvl w:val="1"/>
          <w:numId w:val="1"/>
        </w:numPr>
        <w:spacing w:line="360" w:lineRule="auto"/>
        <w:ind w:left="395" w:hanging="426"/>
        <w:jc w:val="both"/>
        <w:rPr>
          <w:rFonts w:ascii="David" w:hAnsi="David" w:cs="David"/>
          <w:sz w:val="24"/>
          <w:szCs w:val="24"/>
        </w:rPr>
      </w:pPr>
      <w:r>
        <w:rPr>
          <w:rFonts w:ascii="David" w:hAnsi="David" w:cs="David"/>
          <w:b/>
          <w:bCs/>
          <w:sz w:val="24"/>
          <w:szCs w:val="24"/>
          <w:u w:val="single"/>
          <w:rtl/>
        </w:rPr>
        <w:t>הספר האסור הראשון</w:t>
      </w:r>
      <w:r>
        <w:rPr>
          <w:rFonts w:ascii="David" w:hAnsi="David" w:cs="David"/>
          <w:sz w:val="24"/>
          <w:szCs w:val="24"/>
          <w:rtl/>
        </w:rPr>
        <w:t xml:space="preserve"> - התובעת תיארה בתצהירה, באשר לספר האסור הראשון – "חדר המתנה" כיצד מצאה את הספר ב</w:t>
      </w:r>
      <w:r>
        <w:rPr>
          <w:rFonts w:ascii="David" w:hAnsi="David" w:cs="David"/>
          <w:b/>
          <w:bCs/>
          <w:sz w:val="24"/>
          <w:szCs w:val="24"/>
          <w:rtl/>
        </w:rPr>
        <w:t>"עגלת ההחזרות (בה עומדים ספרים שהוחזרו לספריה אך עדיין לא סודרו במקומם)</w:t>
      </w:r>
      <w:r>
        <w:rPr>
          <w:rFonts w:ascii="David" w:hAnsi="David" w:cs="David"/>
          <w:sz w:val="24"/>
          <w:szCs w:val="24"/>
          <w:rtl/>
        </w:rPr>
        <w:t xml:space="preserve">" (סעיף 7 לתצהיר התובעת). עוד תיארה התובעת כיצד ניגשה אל הספרנית "עם הספר כדי לרשום את ההשאלה" וזו בתחילה "רשמה את ההשאלה" אך מיד חזרה בה מכיוון שהספר מיועד </w:t>
      </w:r>
      <w:r>
        <w:rPr>
          <w:rFonts w:ascii="David" w:hAnsi="David" w:cs="David"/>
          <w:b/>
          <w:bCs/>
          <w:sz w:val="24"/>
          <w:szCs w:val="24"/>
          <w:rtl/>
        </w:rPr>
        <w:t>"למבוגרים בלבד"</w:t>
      </w:r>
      <w:r>
        <w:rPr>
          <w:rFonts w:ascii="David" w:hAnsi="David" w:cs="David"/>
          <w:sz w:val="24"/>
          <w:szCs w:val="24"/>
          <w:rtl/>
        </w:rPr>
        <w:t xml:space="preserve">. בהמשך מסרה הספרנית שהספר מיועד </w:t>
      </w:r>
      <w:r>
        <w:rPr>
          <w:rFonts w:ascii="David" w:hAnsi="David" w:cs="David"/>
          <w:b/>
          <w:bCs/>
          <w:sz w:val="24"/>
          <w:szCs w:val="24"/>
          <w:rtl/>
        </w:rPr>
        <w:t>"לנשים נשואות בלבד"</w:t>
      </w:r>
      <w:r>
        <w:rPr>
          <w:rFonts w:ascii="David" w:hAnsi="David" w:cs="David"/>
          <w:sz w:val="24"/>
          <w:szCs w:val="24"/>
          <w:rtl/>
        </w:rPr>
        <w:t>.</w:t>
      </w:r>
    </w:p>
    <w:p w:rsidR="001D708C" w:rsidRDefault="001D708C" w:rsidP="001D708C">
      <w:pPr>
        <w:pStyle w:val="ad"/>
        <w:rPr>
          <w:rFonts w:ascii="David" w:hAnsi="David" w:cs="David"/>
          <w:sz w:val="24"/>
          <w:szCs w:val="24"/>
        </w:rPr>
      </w:pPr>
    </w:p>
    <w:p w:rsidR="001D708C" w:rsidRDefault="001D708C" w:rsidP="001D708C">
      <w:pPr>
        <w:pStyle w:val="ad"/>
        <w:numPr>
          <w:ilvl w:val="1"/>
          <w:numId w:val="1"/>
        </w:numPr>
        <w:spacing w:line="360" w:lineRule="auto"/>
        <w:ind w:left="395" w:hanging="426"/>
        <w:jc w:val="both"/>
        <w:rPr>
          <w:rFonts w:ascii="David" w:hAnsi="David" w:cs="David"/>
          <w:sz w:val="24"/>
          <w:szCs w:val="24"/>
          <w:rtl/>
        </w:rPr>
      </w:pPr>
      <w:r>
        <w:rPr>
          <w:rFonts w:ascii="David" w:hAnsi="David" w:cs="David"/>
          <w:b/>
          <w:bCs/>
          <w:sz w:val="24"/>
          <w:szCs w:val="24"/>
          <w:u w:val="single"/>
          <w:rtl/>
        </w:rPr>
        <w:lastRenderedPageBreak/>
        <w:t>הספר האסור השני</w:t>
      </w:r>
      <w:r>
        <w:rPr>
          <w:rFonts w:ascii="David" w:hAnsi="David" w:cs="David"/>
          <w:sz w:val="24"/>
          <w:szCs w:val="24"/>
          <w:rtl/>
        </w:rPr>
        <w:t xml:space="preserve"> - התובעת הוסיפה ותיארה באשר לספר האסור השני – "ירושלים הרים סביב לה". לענין זה תיארה התובעת שביקשה לשוב ולקרוא את הספר, לאחר שבפעם הראשונה קראה אותו כאשר למדה בתיכון וכלשונה – </w:t>
      </w:r>
      <w:r>
        <w:rPr>
          <w:rFonts w:ascii="David" w:hAnsi="David" w:cs="David"/>
          <w:b/>
          <w:bCs/>
          <w:sz w:val="24"/>
          <w:szCs w:val="24"/>
          <w:rtl/>
        </w:rPr>
        <w:t>"עוד כשהייתי בכיתה י'"</w:t>
      </w:r>
      <w:r>
        <w:rPr>
          <w:rFonts w:ascii="David" w:hAnsi="David" w:cs="David"/>
          <w:sz w:val="24"/>
          <w:szCs w:val="24"/>
          <w:rtl/>
        </w:rPr>
        <w:t xml:space="preserve">. התובעת פנתה אל הספרנית אשר בדקה במחשב ומצאה שהספר נמצא ואולם – </w:t>
      </w:r>
      <w:r>
        <w:rPr>
          <w:rFonts w:ascii="David" w:hAnsi="David" w:cs="David"/>
          <w:b/>
          <w:bCs/>
          <w:sz w:val="24"/>
          <w:szCs w:val="24"/>
          <w:rtl/>
        </w:rPr>
        <w:t>"תוך כדי דיבור הספרנית עצרה את עצמה והתנצלה שהספר מיועד "למבוגרים בלבד""</w:t>
      </w:r>
      <w:r>
        <w:rPr>
          <w:rFonts w:ascii="David" w:hAnsi="David" w:cs="David"/>
          <w:sz w:val="24"/>
          <w:szCs w:val="24"/>
          <w:rtl/>
        </w:rPr>
        <w:t xml:space="preserve"> (סעיף 15 לתצהיר התובעת).</w:t>
      </w:r>
    </w:p>
    <w:p w:rsidR="001D708C" w:rsidRDefault="001D708C" w:rsidP="001D708C">
      <w:pPr>
        <w:pStyle w:val="ad"/>
        <w:rPr>
          <w:rFonts w:ascii="David" w:hAnsi="David" w:cs="David"/>
          <w:sz w:val="24"/>
          <w:szCs w:val="24"/>
        </w:rPr>
      </w:pPr>
    </w:p>
    <w:p w:rsidR="001D708C" w:rsidRDefault="001D708C" w:rsidP="001D708C">
      <w:pPr>
        <w:pStyle w:val="ad"/>
        <w:numPr>
          <w:ilvl w:val="1"/>
          <w:numId w:val="1"/>
        </w:numPr>
        <w:spacing w:line="360" w:lineRule="auto"/>
        <w:ind w:left="395" w:hanging="426"/>
        <w:jc w:val="both"/>
        <w:rPr>
          <w:rFonts w:ascii="David" w:hAnsi="David" w:cs="David"/>
          <w:sz w:val="24"/>
          <w:szCs w:val="24"/>
          <w:rtl/>
        </w:rPr>
      </w:pPr>
      <w:r>
        <w:rPr>
          <w:rFonts w:ascii="David" w:hAnsi="David" w:cs="David"/>
          <w:b/>
          <w:bCs/>
          <w:sz w:val="24"/>
          <w:szCs w:val="24"/>
          <w:u w:val="single"/>
          <w:rtl/>
        </w:rPr>
        <w:t xml:space="preserve">קיומו של ארון הספרים האסורים ואיחולי ה"בהצלחה" של הנתבעת </w:t>
      </w:r>
    </w:p>
    <w:p w:rsidR="001D708C" w:rsidRDefault="0046729D" w:rsidP="0046729D">
      <w:pPr>
        <w:pStyle w:val="ad"/>
        <w:numPr>
          <w:ilvl w:val="0"/>
          <w:numId w:val="7"/>
        </w:numPr>
        <w:spacing w:line="360" w:lineRule="auto"/>
        <w:jc w:val="both"/>
        <w:rPr>
          <w:rFonts w:ascii="David" w:hAnsi="David" w:cs="David"/>
          <w:sz w:val="24"/>
          <w:szCs w:val="24"/>
        </w:rPr>
      </w:pPr>
      <w:r>
        <w:rPr>
          <w:rFonts w:ascii="David" w:hAnsi="David" w:cs="David" w:hint="cs"/>
          <w:sz w:val="24"/>
          <w:szCs w:val="24"/>
          <w:rtl/>
        </w:rPr>
        <w:t xml:space="preserve">התובעת ציינה שנודע לה כי </w:t>
      </w:r>
      <w:r w:rsidR="001D708C">
        <w:rPr>
          <w:rFonts w:ascii="David" w:hAnsi="David" w:cs="David"/>
          <w:sz w:val="24"/>
          <w:szCs w:val="24"/>
          <w:rtl/>
        </w:rPr>
        <w:t xml:space="preserve">בספריה קיים </w:t>
      </w:r>
      <w:r w:rsidR="007C622D">
        <w:rPr>
          <w:rFonts w:ascii="David" w:hAnsi="David" w:cs="David" w:hint="cs"/>
          <w:sz w:val="24"/>
          <w:szCs w:val="24"/>
          <w:rtl/>
        </w:rPr>
        <w:t>'</w:t>
      </w:r>
      <w:r w:rsidR="001D708C">
        <w:rPr>
          <w:rFonts w:ascii="David" w:hAnsi="David" w:cs="David"/>
          <w:sz w:val="24"/>
          <w:szCs w:val="24"/>
          <w:rtl/>
        </w:rPr>
        <w:t>ארון הספרים האסורים</w:t>
      </w:r>
      <w:r w:rsidR="007C622D">
        <w:rPr>
          <w:rFonts w:ascii="David" w:hAnsi="David" w:cs="David" w:hint="cs"/>
          <w:sz w:val="24"/>
          <w:szCs w:val="24"/>
          <w:rtl/>
        </w:rPr>
        <w:t>'. ארון</w:t>
      </w:r>
      <w:r w:rsidR="001D708C">
        <w:rPr>
          <w:rFonts w:ascii="David" w:hAnsi="David" w:cs="David"/>
          <w:sz w:val="24"/>
          <w:szCs w:val="24"/>
          <w:rtl/>
        </w:rPr>
        <w:t xml:space="preserve"> המ</w:t>
      </w:r>
      <w:r>
        <w:rPr>
          <w:rFonts w:ascii="David" w:hAnsi="David" w:cs="David"/>
          <w:sz w:val="24"/>
          <w:szCs w:val="24"/>
          <w:rtl/>
        </w:rPr>
        <w:t>יועד רק למי שנישא אי פעם בעברו</w:t>
      </w:r>
      <w:r>
        <w:rPr>
          <w:rFonts w:ascii="David" w:hAnsi="David" w:cs="David" w:hint="cs"/>
          <w:sz w:val="24"/>
          <w:szCs w:val="24"/>
          <w:rtl/>
        </w:rPr>
        <w:t xml:space="preserve">, </w:t>
      </w:r>
      <w:r w:rsidR="001D708C">
        <w:rPr>
          <w:rFonts w:ascii="David" w:hAnsi="David" w:cs="David"/>
          <w:sz w:val="24"/>
          <w:szCs w:val="24"/>
          <w:rtl/>
        </w:rPr>
        <w:t xml:space="preserve">אפילו אם התגרש או התאלמן לאחר נישואיו. במאמר מוסגר ייאמר שבמהלך הדיון התברר שההבחנה בפועל היתה, ככל הנראה, </w:t>
      </w:r>
      <w:r>
        <w:rPr>
          <w:rFonts w:ascii="David" w:hAnsi="David" w:cs="David" w:hint="cs"/>
          <w:sz w:val="24"/>
          <w:szCs w:val="24"/>
          <w:rtl/>
        </w:rPr>
        <w:t xml:space="preserve">בעיקר </w:t>
      </w:r>
      <w:r w:rsidR="001D708C">
        <w:rPr>
          <w:rFonts w:ascii="David" w:hAnsi="David" w:cs="David"/>
          <w:sz w:val="24"/>
          <w:szCs w:val="24"/>
          <w:rtl/>
        </w:rPr>
        <w:t xml:space="preserve">באשר </w:t>
      </w:r>
      <w:r w:rsidR="001D708C">
        <w:rPr>
          <w:rFonts w:ascii="David" w:hAnsi="David" w:cs="David"/>
          <w:sz w:val="24"/>
          <w:szCs w:val="24"/>
          <w:u w:val="single"/>
          <w:rtl/>
        </w:rPr>
        <w:t>לנשים רווקות</w:t>
      </w:r>
      <w:r w:rsidR="001D708C">
        <w:rPr>
          <w:rFonts w:ascii="David" w:hAnsi="David" w:cs="David"/>
          <w:sz w:val="24"/>
          <w:szCs w:val="24"/>
          <w:rtl/>
        </w:rPr>
        <w:t xml:space="preserve"> אשר הציבור </w:t>
      </w:r>
      <w:r w:rsidR="009B3732">
        <w:rPr>
          <w:rFonts w:ascii="David" w:hAnsi="David" w:cs="David" w:hint="cs"/>
          <w:sz w:val="24"/>
          <w:szCs w:val="24"/>
          <w:rtl/>
        </w:rPr>
        <w:t xml:space="preserve">החרדי </w:t>
      </w:r>
      <w:r w:rsidR="007C622D">
        <w:rPr>
          <w:rFonts w:ascii="David" w:hAnsi="David" w:cs="David"/>
          <w:sz w:val="24"/>
          <w:szCs w:val="24"/>
          <w:rtl/>
        </w:rPr>
        <w:t>מבחין בה</w:t>
      </w:r>
      <w:r w:rsidR="007C622D">
        <w:rPr>
          <w:rFonts w:ascii="David" w:hAnsi="David" w:cs="David" w:hint="cs"/>
          <w:sz w:val="24"/>
          <w:szCs w:val="24"/>
          <w:rtl/>
        </w:rPr>
        <w:t>ן</w:t>
      </w:r>
      <w:r w:rsidR="001D708C">
        <w:rPr>
          <w:rFonts w:ascii="David" w:hAnsi="David" w:cs="David"/>
          <w:sz w:val="24"/>
          <w:szCs w:val="24"/>
          <w:rtl/>
        </w:rPr>
        <w:t xml:space="preserve"> בסימנים. ההבחנה קשה וככל הנראה אינה קיימת באותו אופן באשר </w:t>
      </w:r>
      <w:r w:rsidR="001D708C">
        <w:rPr>
          <w:rFonts w:ascii="David" w:hAnsi="David" w:cs="David"/>
          <w:sz w:val="24"/>
          <w:szCs w:val="24"/>
          <w:u w:val="single"/>
          <w:rtl/>
        </w:rPr>
        <w:t>לגברים רווקים</w:t>
      </w:r>
      <w:r w:rsidR="001D708C">
        <w:rPr>
          <w:rFonts w:ascii="David" w:hAnsi="David" w:cs="David"/>
          <w:sz w:val="24"/>
          <w:szCs w:val="24"/>
          <w:rtl/>
        </w:rPr>
        <w:t xml:space="preserve"> אשר לא נושאים בחיי היום יום סימנים מזהים, לענין זה ר' הדיון בסעיף 9 להלן.</w:t>
      </w:r>
    </w:p>
    <w:p w:rsidR="001D708C" w:rsidRDefault="001D708C" w:rsidP="001D708C">
      <w:pPr>
        <w:pStyle w:val="ad"/>
        <w:spacing w:line="360" w:lineRule="auto"/>
        <w:ind w:left="755"/>
        <w:jc w:val="both"/>
        <w:rPr>
          <w:rFonts w:ascii="David" w:hAnsi="David" w:cs="David"/>
          <w:sz w:val="24"/>
          <w:szCs w:val="24"/>
        </w:rPr>
      </w:pPr>
    </w:p>
    <w:p w:rsidR="001D708C" w:rsidRDefault="001D708C" w:rsidP="001D708C">
      <w:pPr>
        <w:pStyle w:val="ad"/>
        <w:numPr>
          <w:ilvl w:val="0"/>
          <w:numId w:val="7"/>
        </w:numPr>
        <w:spacing w:line="360" w:lineRule="auto"/>
        <w:jc w:val="both"/>
        <w:rPr>
          <w:rFonts w:ascii="David" w:hAnsi="David" w:cs="David"/>
          <w:sz w:val="24"/>
          <w:szCs w:val="24"/>
        </w:rPr>
      </w:pPr>
      <w:r>
        <w:rPr>
          <w:rFonts w:ascii="David" w:hAnsi="David" w:cs="David"/>
          <w:sz w:val="24"/>
          <w:szCs w:val="24"/>
          <w:rtl/>
        </w:rPr>
        <w:t xml:space="preserve">התובעת פנתה אל הספריה העירונית בדוא"ל וביקשה, כאמור, לברר מה הקריטריונים להבחנה ולאיסור על השאלת ספרים. בתשובה הובהר לה שהקריטריון להבחנה הוא </w:t>
      </w:r>
      <w:r>
        <w:rPr>
          <w:rFonts w:ascii="David" w:hAnsi="David" w:cs="David"/>
          <w:b/>
          <w:bCs/>
          <w:sz w:val="24"/>
          <w:szCs w:val="24"/>
          <w:rtl/>
        </w:rPr>
        <w:t>"</w:t>
      </w:r>
      <w:r>
        <w:rPr>
          <w:rFonts w:ascii="David" w:hAnsi="David" w:cs="David"/>
          <w:b/>
          <w:bCs/>
          <w:sz w:val="24"/>
          <w:szCs w:val="24"/>
          <w:u w:val="single"/>
          <w:rtl/>
        </w:rPr>
        <w:t>תלוי מצב</w:t>
      </w:r>
      <w:r>
        <w:rPr>
          <w:rFonts w:ascii="David" w:hAnsi="David" w:cs="David"/>
          <w:b/>
          <w:bCs/>
          <w:sz w:val="24"/>
          <w:szCs w:val="24"/>
          <w:rtl/>
        </w:rPr>
        <w:t>"</w:t>
      </w:r>
      <w:r>
        <w:rPr>
          <w:rFonts w:ascii="David" w:hAnsi="David" w:cs="David"/>
          <w:sz w:val="24"/>
          <w:szCs w:val="24"/>
          <w:rtl/>
        </w:rPr>
        <w:t xml:space="preserve"> ואף איחלו לה "</w:t>
      </w:r>
      <w:r>
        <w:rPr>
          <w:rFonts w:ascii="David" w:hAnsi="David" w:cs="David"/>
          <w:b/>
          <w:bCs/>
          <w:sz w:val="24"/>
          <w:szCs w:val="24"/>
          <w:rtl/>
        </w:rPr>
        <w:t>בהצלחה</w:t>
      </w:r>
      <w:r>
        <w:rPr>
          <w:rFonts w:ascii="David" w:hAnsi="David" w:cs="David"/>
          <w:sz w:val="24"/>
          <w:szCs w:val="24"/>
          <w:rtl/>
        </w:rPr>
        <w:t xml:space="preserve">" – תהא כוונת האיחול אשר תהא. וכלשון תשובת הנתבעת, אשר נשלחה על ידי מי שהקפיד לא להזדהות בשם (נספח "ד" לתצהיר התובעת, ההדגשות לא במקור):  </w:t>
      </w:r>
    </w:p>
    <w:p w:rsidR="001D708C" w:rsidRDefault="001D708C" w:rsidP="001D708C">
      <w:pPr>
        <w:ind w:left="2160" w:firstLine="720"/>
        <w:jc w:val="both"/>
        <w:rPr>
          <w:rFonts w:ascii="David" w:hAnsi="David"/>
        </w:rPr>
      </w:pPr>
      <w:r>
        <w:rPr>
          <w:rFonts w:ascii="David" w:hAnsi="David"/>
          <w:b/>
          <w:bCs/>
          <w:rtl/>
        </w:rPr>
        <w:t>"לפי החלטת הנהלת הספריה,</w:t>
      </w:r>
    </w:p>
    <w:p w:rsidR="001D708C" w:rsidRDefault="001D708C" w:rsidP="001D708C">
      <w:pPr>
        <w:ind w:left="2160" w:firstLine="720"/>
        <w:jc w:val="both"/>
        <w:rPr>
          <w:rFonts w:ascii="David" w:hAnsi="David"/>
          <w:b/>
          <w:bCs/>
          <w:rtl/>
        </w:rPr>
      </w:pPr>
      <w:r>
        <w:rPr>
          <w:rFonts w:ascii="David" w:hAnsi="David"/>
          <w:b/>
          <w:bCs/>
          <w:u w:val="single"/>
          <w:rtl/>
        </w:rPr>
        <w:t>זה תלוי מצב</w:t>
      </w:r>
      <w:r>
        <w:rPr>
          <w:rFonts w:ascii="David" w:hAnsi="David"/>
          <w:b/>
          <w:bCs/>
          <w:rtl/>
        </w:rPr>
        <w:t xml:space="preserve"> ולא גיל</w:t>
      </w:r>
    </w:p>
    <w:p w:rsidR="001D708C" w:rsidRDefault="001D708C" w:rsidP="001D708C">
      <w:pPr>
        <w:ind w:left="2160" w:firstLine="720"/>
        <w:jc w:val="both"/>
        <w:rPr>
          <w:rFonts w:ascii="David" w:hAnsi="David"/>
          <w:b/>
          <w:bCs/>
          <w:rtl/>
        </w:rPr>
      </w:pPr>
      <w:r>
        <w:rPr>
          <w:rFonts w:ascii="David" w:hAnsi="David"/>
          <w:b/>
          <w:bCs/>
          <w:u w:val="single"/>
          <w:rtl/>
        </w:rPr>
        <w:t>בהצלחה</w:t>
      </w:r>
      <w:r>
        <w:rPr>
          <w:rFonts w:ascii="David" w:hAnsi="David"/>
          <w:b/>
          <w:bCs/>
          <w:rtl/>
        </w:rPr>
        <w:t>"</w:t>
      </w:r>
    </w:p>
    <w:p w:rsidR="001D708C" w:rsidRDefault="001D708C" w:rsidP="001D708C">
      <w:pPr>
        <w:pStyle w:val="ad"/>
        <w:spacing w:line="360" w:lineRule="auto"/>
        <w:ind w:left="395"/>
        <w:jc w:val="both"/>
        <w:rPr>
          <w:rFonts w:ascii="David" w:hAnsi="David" w:cs="David"/>
          <w:sz w:val="24"/>
          <w:szCs w:val="24"/>
          <w:rtl/>
        </w:rPr>
      </w:pPr>
    </w:p>
    <w:p w:rsidR="001D708C" w:rsidRDefault="001D708C" w:rsidP="001D708C">
      <w:pPr>
        <w:pStyle w:val="ad"/>
        <w:spacing w:line="360" w:lineRule="auto"/>
        <w:ind w:left="755"/>
        <w:jc w:val="both"/>
        <w:rPr>
          <w:rFonts w:ascii="David" w:hAnsi="David" w:cs="David"/>
          <w:sz w:val="24"/>
          <w:szCs w:val="24"/>
          <w:rtl/>
        </w:rPr>
      </w:pPr>
      <w:r>
        <w:rPr>
          <w:rFonts w:ascii="David" w:hAnsi="David" w:cs="David"/>
          <w:sz w:val="24"/>
          <w:szCs w:val="24"/>
          <w:rtl/>
        </w:rPr>
        <w:t>כלומר, הנתבעת אכן מבחינה בין באי הציבור וההבחנה היא "תלוי מצב". ובאשר לאותו מצב, אף נוסף האיחול – "בהצלחה".</w:t>
      </w:r>
    </w:p>
    <w:p w:rsidR="001D708C" w:rsidRDefault="001D708C" w:rsidP="001D708C">
      <w:pPr>
        <w:pStyle w:val="ad"/>
        <w:spacing w:line="360" w:lineRule="auto"/>
        <w:ind w:left="1080"/>
        <w:jc w:val="both"/>
        <w:rPr>
          <w:rFonts w:ascii="David" w:hAnsi="David" w:cs="David"/>
          <w:sz w:val="24"/>
          <w:szCs w:val="24"/>
        </w:rPr>
      </w:pPr>
    </w:p>
    <w:p w:rsidR="001D708C" w:rsidRDefault="001D708C" w:rsidP="001D708C">
      <w:pPr>
        <w:pStyle w:val="ad"/>
        <w:numPr>
          <w:ilvl w:val="1"/>
          <w:numId w:val="1"/>
        </w:numPr>
        <w:spacing w:line="360" w:lineRule="auto"/>
        <w:ind w:left="395" w:hanging="426"/>
        <w:jc w:val="both"/>
        <w:rPr>
          <w:rFonts w:ascii="David" w:hAnsi="David" w:cs="David"/>
          <w:sz w:val="24"/>
          <w:szCs w:val="24"/>
          <w:rtl/>
        </w:rPr>
      </w:pPr>
      <w:r>
        <w:rPr>
          <w:rFonts w:ascii="David" w:hAnsi="David" w:cs="David"/>
          <w:b/>
          <w:bCs/>
          <w:sz w:val="24"/>
          <w:szCs w:val="24"/>
          <w:u w:val="single"/>
          <w:rtl/>
        </w:rPr>
        <w:t>גם נציג הנתבעת הודה בהבחנת התובעת מכלל הציבור</w:t>
      </w:r>
    </w:p>
    <w:p w:rsidR="001D708C" w:rsidRDefault="001D708C" w:rsidP="009B3732">
      <w:pPr>
        <w:pStyle w:val="ad"/>
        <w:numPr>
          <w:ilvl w:val="0"/>
          <w:numId w:val="8"/>
        </w:numPr>
        <w:spacing w:line="360" w:lineRule="auto"/>
        <w:jc w:val="both"/>
        <w:rPr>
          <w:rFonts w:ascii="David" w:hAnsi="David" w:cs="David"/>
          <w:sz w:val="24"/>
          <w:szCs w:val="24"/>
        </w:rPr>
      </w:pPr>
      <w:r>
        <w:rPr>
          <w:rFonts w:ascii="David" w:hAnsi="David" w:cs="David"/>
          <w:sz w:val="24"/>
          <w:szCs w:val="24"/>
          <w:rtl/>
        </w:rPr>
        <w:t>נציג הנתבעת לא הכחיש את ההבחנה לה זכתה התובעת, וכלשונו (ס</w:t>
      </w:r>
      <w:r w:rsidR="009B3732">
        <w:rPr>
          <w:rFonts w:ascii="David" w:hAnsi="David" w:cs="David" w:hint="cs"/>
          <w:sz w:val="24"/>
          <w:szCs w:val="24"/>
          <w:rtl/>
        </w:rPr>
        <w:t>עיף</w:t>
      </w:r>
      <w:r>
        <w:rPr>
          <w:rFonts w:ascii="David" w:hAnsi="David" w:cs="David"/>
          <w:sz w:val="24"/>
          <w:szCs w:val="24"/>
          <w:rtl/>
        </w:rPr>
        <w:t xml:space="preserve"> 3 לתצ</w:t>
      </w:r>
      <w:r w:rsidR="009B3732">
        <w:rPr>
          <w:rFonts w:ascii="David" w:hAnsi="David" w:cs="David" w:hint="cs"/>
          <w:sz w:val="24"/>
          <w:szCs w:val="24"/>
          <w:rtl/>
        </w:rPr>
        <w:t>הירו</w:t>
      </w:r>
      <w:r>
        <w:rPr>
          <w:rFonts w:ascii="David" w:hAnsi="David" w:cs="David"/>
          <w:sz w:val="24"/>
          <w:szCs w:val="24"/>
          <w:rtl/>
        </w:rPr>
        <w:t>, ההדגשה במקור):</w:t>
      </w:r>
    </w:p>
    <w:p w:rsidR="001D708C" w:rsidRDefault="001D708C" w:rsidP="001D708C">
      <w:pPr>
        <w:pStyle w:val="ad"/>
        <w:spacing w:line="360" w:lineRule="auto"/>
        <w:ind w:left="1440" w:hanging="1045"/>
        <w:jc w:val="both"/>
        <w:rPr>
          <w:rFonts w:ascii="David" w:hAnsi="David" w:cs="David"/>
          <w:b/>
          <w:bCs/>
          <w:sz w:val="24"/>
          <w:szCs w:val="24"/>
          <w:rtl/>
        </w:rPr>
      </w:pPr>
      <w:r>
        <w:rPr>
          <w:rFonts w:ascii="David" w:hAnsi="David" w:cs="David"/>
          <w:sz w:val="24"/>
          <w:szCs w:val="24"/>
          <w:rtl/>
        </w:rPr>
        <w:tab/>
      </w:r>
      <w:r>
        <w:rPr>
          <w:rFonts w:ascii="David" w:hAnsi="David" w:cs="David"/>
          <w:b/>
          <w:bCs/>
          <w:sz w:val="24"/>
          <w:szCs w:val="24"/>
          <w:rtl/>
        </w:rPr>
        <w:t xml:space="preserve">"אני מסכים לתיאור העובדות </w:t>
      </w:r>
      <w:r>
        <w:rPr>
          <w:rFonts w:ascii="David" w:hAnsi="David" w:cs="David"/>
          <w:b/>
          <w:bCs/>
          <w:sz w:val="24"/>
          <w:szCs w:val="24"/>
          <w:u w:val="single"/>
          <w:rtl/>
        </w:rPr>
        <w:t>הטכניות</w:t>
      </w:r>
      <w:r>
        <w:rPr>
          <w:rFonts w:ascii="David" w:hAnsi="David" w:cs="David"/>
          <w:b/>
          <w:bCs/>
          <w:sz w:val="24"/>
          <w:szCs w:val="24"/>
          <w:rtl/>
        </w:rPr>
        <w:t xml:space="preserve"> בדבר השאלת ספרים, מועדים תקופות והאירועים לגבי הספרים שביקשה התובעת לשאול ולהבדיל מרגשות התובעת בתגובה לאירועים"</w:t>
      </w:r>
    </w:p>
    <w:p w:rsidR="001D708C" w:rsidRDefault="001D708C" w:rsidP="001D708C">
      <w:pPr>
        <w:pStyle w:val="ad"/>
        <w:spacing w:line="360" w:lineRule="auto"/>
        <w:ind w:left="395"/>
        <w:jc w:val="both"/>
        <w:rPr>
          <w:rFonts w:ascii="David" w:hAnsi="David" w:cs="David"/>
          <w:sz w:val="24"/>
          <w:szCs w:val="24"/>
          <w:rtl/>
        </w:rPr>
      </w:pPr>
    </w:p>
    <w:p w:rsidR="001D708C" w:rsidRDefault="001D708C" w:rsidP="001D708C">
      <w:pPr>
        <w:pStyle w:val="ad"/>
        <w:spacing w:line="360" w:lineRule="auto"/>
        <w:ind w:left="755"/>
        <w:jc w:val="both"/>
        <w:rPr>
          <w:rFonts w:ascii="David" w:hAnsi="David" w:cs="David"/>
          <w:sz w:val="24"/>
          <w:szCs w:val="24"/>
          <w:rtl/>
        </w:rPr>
      </w:pPr>
      <w:r>
        <w:rPr>
          <w:rFonts w:ascii="David" w:hAnsi="David" w:cs="David"/>
          <w:sz w:val="24"/>
          <w:szCs w:val="24"/>
          <w:rtl/>
        </w:rPr>
        <w:t>נציג הנתבעת אף התייחס במפורש ל</w:t>
      </w:r>
      <w:r>
        <w:rPr>
          <w:rFonts w:ascii="David" w:hAnsi="David" w:cs="David"/>
          <w:b/>
          <w:bCs/>
          <w:sz w:val="24"/>
          <w:szCs w:val="24"/>
          <w:rtl/>
        </w:rPr>
        <w:t>"מעמדה"</w:t>
      </w:r>
      <w:r>
        <w:rPr>
          <w:rFonts w:ascii="David" w:hAnsi="David" w:cs="David"/>
          <w:sz w:val="24"/>
          <w:szCs w:val="24"/>
          <w:rtl/>
        </w:rPr>
        <w:t xml:space="preserve"> של התובעת ותוך שהתייחס לדברי התובעת ציין כך (סעיף 8 לתצהיר נציג הנתבעת, ההדגשות לא במקור) – </w:t>
      </w:r>
      <w:r>
        <w:rPr>
          <w:rFonts w:ascii="David" w:hAnsi="David" w:cs="David"/>
          <w:b/>
          <w:bCs/>
          <w:sz w:val="24"/>
          <w:szCs w:val="24"/>
          <w:rtl/>
        </w:rPr>
        <w:t xml:space="preserve">"מן התצהיר – ואולי תובא על כך חוו"ד פסיכולוגית מקצועית – עולה תמונה של רגישות יתר של התובעת </w:t>
      </w:r>
      <w:r>
        <w:rPr>
          <w:rFonts w:ascii="David" w:hAnsi="David" w:cs="David"/>
          <w:b/>
          <w:bCs/>
          <w:sz w:val="24"/>
          <w:szCs w:val="24"/>
          <w:u w:val="single"/>
          <w:rtl/>
        </w:rPr>
        <w:t>למעמדה</w:t>
      </w:r>
      <w:r>
        <w:rPr>
          <w:rFonts w:ascii="David" w:hAnsi="David" w:cs="David"/>
          <w:b/>
          <w:bCs/>
          <w:sz w:val="24"/>
          <w:szCs w:val="24"/>
          <w:rtl/>
        </w:rPr>
        <w:t xml:space="preserve"> (דבר שאיננו נכון ואיננו ראוי) והיא – לטענתה – הבלתי סבירה – הביאה אותה לראות בסירוב ההשאלה </w:t>
      </w:r>
      <w:r>
        <w:rPr>
          <w:rFonts w:ascii="David" w:hAnsi="David" w:cs="David"/>
          <w:b/>
          <w:bCs/>
          <w:sz w:val="24"/>
          <w:szCs w:val="24"/>
          <w:rtl/>
        </w:rPr>
        <w:lastRenderedPageBreak/>
        <w:t>פגיעה קשה, הנמכת רמתה האינטלקטואלית, ראייתה כילדה קטנה, אישה פגומה חסרת ערך ע"י הציבור (!) וכיו"ב"</w:t>
      </w:r>
      <w:r>
        <w:rPr>
          <w:rFonts w:ascii="David" w:hAnsi="David" w:cs="David"/>
          <w:sz w:val="24"/>
          <w:szCs w:val="24"/>
          <w:rtl/>
        </w:rPr>
        <w:t>.</w:t>
      </w:r>
    </w:p>
    <w:p w:rsidR="001D708C" w:rsidRDefault="001D708C" w:rsidP="001D708C">
      <w:pPr>
        <w:pStyle w:val="ad"/>
        <w:spacing w:line="360" w:lineRule="auto"/>
        <w:ind w:left="755"/>
        <w:jc w:val="both"/>
        <w:rPr>
          <w:rFonts w:ascii="David" w:hAnsi="David" w:cs="David"/>
          <w:sz w:val="24"/>
          <w:szCs w:val="24"/>
          <w:rtl/>
        </w:rPr>
      </w:pPr>
    </w:p>
    <w:p w:rsidR="001D708C" w:rsidRDefault="001D708C" w:rsidP="007C622D">
      <w:pPr>
        <w:pStyle w:val="ad"/>
        <w:numPr>
          <w:ilvl w:val="0"/>
          <w:numId w:val="8"/>
        </w:numPr>
        <w:spacing w:line="360" w:lineRule="auto"/>
        <w:jc w:val="both"/>
        <w:rPr>
          <w:rFonts w:ascii="David" w:hAnsi="David" w:cs="David"/>
          <w:sz w:val="24"/>
          <w:szCs w:val="24"/>
          <w:rtl/>
        </w:rPr>
      </w:pPr>
      <w:r>
        <w:rPr>
          <w:rFonts w:ascii="David" w:hAnsi="David" w:cs="David"/>
          <w:sz w:val="24"/>
          <w:szCs w:val="24"/>
          <w:rtl/>
        </w:rPr>
        <w:t>עוד הוסיף נציג הנתבעת בחקירתו  והבחין באשר להשאלת ספרים בין נשים נשואות לכלל הציבור. לענין זה הודה נציג הנתבעת שמלכתחילה ממוינים כלל הספרים בספריה כך שיתאימו לציבור חרדי, וכפי שנשאל והשיב (ע"מ</w:t>
      </w:r>
      <w:r w:rsidR="007C622D">
        <w:rPr>
          <w:rFonts w:ascii="David" w:hAnsi="David" w:cs="David" w:hint="cs"/>
          <w:sz w:val="24"/>
          <w:szCs w:val="24"/>
          <w:rtl/>
        </w:rPr>
        <w:t xml:space="preserve"> </w:t>
      </w:r>
      <w:r w:rsidR="007C622D">
        <w:rPr>
          <w:rFonts w:ascii="David" w:hAnsi="David" w:cs="David"/>
          <w:sz w:val="24"/>
          <w:szCs w:val="24"/>
          <w:rtl/>
        </w:rPr>
        <w:t>23</w:t>
      </w:r>
      <w:r w:rsidR="007C622D">
        <w:rPr>
          <w:rFonts w:ascii="David" w:hAnsi="David" w:cs="David" w:hint="cs"/>
          <w:sz w:val="24"/>
          <w:szCs w:val="24"/>
          <w:rtl/>
        </w:rPr>
        <w:t xml:space="preserve"> לפר',</w:t>
      </w:r>
      <w:r>
        <w:rPr>
          <w:rFonts w:ascii="David" w:hAnsi="David" w:cs="David"/>
          <w:sz w:val="24"/>
          <w:szCs w:val="24"/>
          <w:rtl/>
        </w:rPr>
        <w:t xml:space="preserve"> שורות 27-30):</w:t>
      </w:r>
    </w:p>
    <w:p w:rsidR="001D708C" w:rsidRDefault="001D708C" w:rsidP="001D708C">
      <w:pPr>
        <w:pStyle w:val="ad"/>
        <w:spacing w:line="360" w:lineRule="auto"/>
        <w:ind w:left="3513" w:hanging="1797"/>
        <w:jc w:val="both"/>
        <w:rPr>
          <w:rFonts w:ascii="David" w:hAnsi="David" w:cs="David"/>
          <w:b/>
          <w:bCs/>
          <w:sz w:val="24"/>
          <w:szCs w:val="24"/>
          <w:rtl/>
        </w:rPr>
      </w:pPr>
      <w:r>
        <w:rPr>
          <w:rFonts w:ascii="David" w:hAnsi="David" w:cs="David"/>
          <w:b/>
          <w:bCs/>
          <w:sz w:val="24"/>
          <w:szCs w:val="24"/>
          <w:rtl/>
        </w:rPr>
        <w:t xml:space="preserve">עו"ד סייף: </w:t>
      </w:r>
      <w:r>
        <w:rPr>
          <w:rFonts w:ascii="David" w:hAnsi="David" w:cs="David"/>
          <w:b/>
          <w:bCs/>
          <w:sz w:val="24"/>
          <w:szCs w:val="24"/>
          <w:rtl/>
        </w:rPr>
        <w:tab/>
        <w:t xml:space="preserve">אז הספרים שבהיותה ספריה חרדית, כפי שאתה מגדיר אותה. הספרים שנמצאים בתוך הספרייה הם </w:t>
      </w:r>
      <w:r>
        <w:rPr>
          <w:rFonts w:ascii="David" w:hAnsi="David" w:cs="David"/>
          <w:b/>
          <w:bCs/>
          <w:sz w:val="24"/>
          <w:szCs w:val="24"/>
          <w:u w:val="single"/>
          <w:rtl/>
        </w:rPr>
        <w:t>מלכתחילה, כאלה שמותאמים לאוכלוסייה חרדית</w:t>
      </w:r>
      <w:r>
        <w:rPr>
          <w:rFonts w:ascii="David" w:hAnsi="David" w:cs="David"/>
          <w:b/>
          <w:bCs/>
          <w:sz w:val="24"/>
          <w:szCs w:val="24"/>
          <w:rtl/>
        </w:rPr>
        <w:t>, נכון?</w:t>
      </w:r>
    </w:p>
    <w:p w:rsidR="001D708C" w:rsidRDefault="001D708C" w:rsidP="001D708C">
      <w:pPr>
        <w:pStyle w:val="ad"/>
        <w:spacing w:line="360" w:lineRule="auto"/>
        <w:ind w:left="3513" w:hanging="1797"/>
        <w:jc w:val="both"/>
        <w:rPr>
          <w:rFonts w:ascii="David" w:hAnsi="David" w:cs="David"/>
          <w:b/>
          <w:bCs/>
          <w:sz w:val="24"/>
          <w:szCs w:val="24"/>
          <w:rtl/>
        </w:rPr>
      </w:pPr>
      <w:r>
        <w:rPr>
          <w:rFonts w:ascii="David" w:hAnsi="David" w:cs="David"/>
          <w:b/>
          <w:bCs/>
          <w:sz w:val="24"/>
          <w:szCs w:val="24"/>
          <w:rtl/>
        </w:rPr>
        <w:t xml:space="preserve">העד, מר רוזן: </w:t>
      </w:r>
      <w:r>
        <w:rPr>
          <w:rFonts w:ascii="David" w:hAnsi="David" w:cs="David"/>
          <w:b/>
          <w:bCs/>
          <w:sz w:val="24"/>
          <w:szCs w:val="24"/>
          <w:rtl/>
        </w:rPr>
        <w:tab/>
      </w:r>
      <w:r>
        <w:rPr>
          <w:rFonts w:ascii="David" w:hAnsi="David" w:cs="David"/>
          <w:b/>
          <w:bCs/>
          <w:sz w:val="24"/>
          <w:szCs w:val="24"/>
          <w:u w:val="single"/>
          <w:rtl/>
        </w:rPr>
        <w:t>נכון</w:t>
      </w:r>
      <w:r>
        <w:rPr>
          <w:rFonts w:ascii="David" w:hAnsi="David" w:cs="David"/>
          <w:b/>
          <w:bCs/>
          <w:sz w:val="24"/>
          <w:szCs w:val="24"/>
          <w:rtl/>
        </w:rPr>
        <w:t>.</w:t>
      </w:r>
    </w:p>
    <w:p w:rsidR="001D708C" w:rsidRDefault="001D708C" w:rsidP="001D708C">
      <w:pPr>
        <w:pStyle w:val="ad"/>
        <w:spacing w:line="360" w:lineRule="auto"/>
        <w:ind w:left="395"/>
        <w:jc w:val="both"/>
        <w:rPr>
          <w:rFonts w:ascii="David" w:hAnsi="David" w:cs="David"/>
          <w:sz w:val="24"/>
          <w:szCs w:val="24"/>
          <w:rtl/>
        </w:rPr>
      </w:pPr>
    </w:p>
    <w:p w:rsidR="001D708C" w:rsidRDefault="001D708C" w:rsidP="001D708C">
      <w:pPr>
        <w:pStyle w:val="ad"/>
        <w:spacing w:line="360" w:lineRule="auto"/>
        <w:ind w:left="755"/>
        <w:jc w:val="both"/>
        <w:rPr>
          <w:rFonts w:ascii="David" w:hAnsi="David" w:cs="David"/>
          <w:b/>
          <w:bCs/>
          <w:sz w:val="24"/>
          <w:szCs w:val="24"/>
          <w:rtl/>
        </w:rPr>
      </w:pPr>
      <w:r>
        <w:rPr>
          <w:rFonts w:ascii="David" w:hAnsi="David" w:cs="David"/>
          <w:sz w:val="24"/>
          <w:szCs w:val="24"/>
          <w:rtl/>
        </w:rPr>
        <w:t xml:space="preserve">ובהמשך התייחס להבחנה של התובעת ודומות לה מכלל הציבור וכלשונו (ע"מ 24 לפר' ש' 8-9, ההדגשות לא במקור):  </w:t>
      </w:r>
      <w:r>
        <w:rPr>
          <w:rFonts w:ascii="David" w:hAnsi="David" w:cs="David"/>
          <w:sz w:val="24"/>
          <w:szCs w:val="24"/>
          <w:rtl/>
        </w:rPr>
        <w:tab/>
      </w:r>
    </w:p>
    <w:p w:rsidR="001D708C" w:rsidRDefault="001D708C" w:rsidP="001D708C">
      <w:pPr>
        <w:pStyle w:val="ad"/>
        <w:spacing w:line="360" w:lineRule="auto"/>
        <w:ind w:left="3513" w:hanging="1797"/>
        <w:jc w:val="both"/>
        <w:rPr>
          <w:rFonts w:ascii="David" w:hAnsi="David" w:cs="David"/>
          <w:b/>
          <w:bCs/>
          <w:sz w:val="24"/>
          <w:szCs w:val="24"/>
          <w:rtl/>
        </w:rPr>
      </w:pPr>
      <w:r>
        <w:rPr>
          <w:rFonts w:ascii="David" w:hAnsi="David" w:cs="David"/>
          <w:b/>
          <w:bCs/>
          <w:sz w:val="24"/>
          <w:szCs w:val="24"/>
          <w:rtl/>
        </w:rPr>
        <w:t xml:space="preserve">העד, מר רוזן: </w:t>
      </w:r>
      <w:r>
        <w:rPr>
          <w:rFonts w:ascii="David" w:hAnsi="David" w:cs="David"/>
          <w:b/>
          <w:bCs/>
          <w:sz w:val="24"/>
          <w:szCs w:val="24"/>
          <w:rtl/>
        </w:rPr>
        <w:tab/>
        <w:t xml:space="preserve">זה לכל האוכלוסייה. </w:t>
      </w:r>
      <w:r>
        <w:rPr>
          <w:rFonts w:ascii="David" w:hAnsi="David" w:cs="David"/>
          <w:b/>
          <w:bCs/>
          <w:sz w:val="24"/>
          <w:szCs w:val="24"/>
          <w:u w:val="single"/>
          <w:rtl/>
        </w:rPr>
        <w:t>יש ספרים מסוימים שזה לנשואות</w:t>
      </w:r>
      <w:r>
        <w:rPr>
          <w:rFonts w:ascii="David" w:hAnsi="David" w:cs="David"/>
          <w:b/>
          <w:bCs/>
          <w:sz w:val="24"/>
          <w:szCs w:val="24"/>
          <w:rtl/>
        </w:rPr>
        <w:t>, לאנשים שעברו תהליך בחיים שלהם,</w:t>
      </w:r>
    </w:p>
    <w:p w:rsidR="001D708C" w:rsidRDefault="001D708C" w:rsidP="001D708C">
      <w:pPr>
        <w:pStyle w:val="ad"/>
        <w:spacing w:line="360" w:lineRule="auto"/>
        <w:ind w:left="395"/>
        <w:jc w:val="both"/>
        <w:rPr>
          <w:rFonts w:ascii="David" w:hAnsi="David" w:cs="David"/>
          <w:sz w:val="24"/>
          <w:szCs w:val="24"/>
          <w:rtl/>
        </w:rPr>
      </w:pPr>
    </w:p>
    <w:p w:rsidR="001D708C" w:rsidRDefault="001D708C" w:rsidP="001D708C">
      <w:pPr>
        <w:pStyle w:val="ad"/>
        <w:spacing w:line="360" w:lineRule="auto"/>
        <w:ind w:left="755"/>
        <w:jc w:val="both"/>
        <w:rPr>
          <w:rFonts w:ascii="David" w:hAnsi="David" w:cs="David"/>
          <w:sz w:val="24"/>
          <w:szCs w:val="24"/>
          <w:rtl/>
        </w:rPr>
      </w:pPr>
      <w:r>
        <w:rPr>
          <w:rFonts w:ascii="David" w:hAnsi="David" w:cs="David"/>
          <w:sz w:val="24"/>
          <w:szCs w:val="24"/>
          <w:rtl/>
        </w:rPr>
        <w:t>ובמילים פשוטות – גם מדברי נציג הנתבעת עולה באופן חש משמעי שהתובעת זכתה ליחס שונה המבחין אותה מהציבור.</w:t>
      </w:r>
    </w:p>
    <w:p w:rsidR="001D708C" w:rsidRDefault="001D708C" w:rsidP="001D708C">
      <w:pPr>
        <w:pStyle w:val="ad"/>
        <w:spacing w:line="360" w:lineRule="auto"/>
        <w:ind w:left="395"/>
        <w:jc w:val="both"/>
        <w:rPr>
          <w:rFonts w:ascii="David" w:hAnsi="David" w:cs="David"/>
          <w:sz w:val="24"/>
          <w:szCs w:val="24"/>
          <w:rtl/>
        </w:rPr>
      </w:pPr>
    </w:p>
    <w:p w:rsidR="001D708C" w:rsidRDefault="001D708C" w:rsidP="001D708C">
      <w:pPr>
        <w:pStyle w:val="ad"/>
        <w:numPr>
          <w:ilvl w:val="1"/>
          <w:numId w:val="1"/>
        </w:numPr>
        <w:spacing w:line="360" w:lineRule="auto"/>
        <w:ind w:left="395" w:hanging="426"/>
        <w:jc w:val="both"/>
        <w:rPr>
          <w:rFonts w:ascii="David" w:hAnsi="David" w:cs="David"/>
          <w:sz w:val="24"/>
          <w:szCs w:val="24"/>
        </w:rPr>
      </w:pPr>
      <w:r>
        <w:rPr>
          <w:rFonts w:ascii="David" w:hAnsi="David" w:cs="David"/>
          <w:b/>
          <w:bCs/>
          <w:sz w:val="24"/>
          <w:szCs w:val="24"/>
          <w:u w:val="single"/>
          <w:rtl/>
        </w:rPr>
        <w:t>סוף דבר באשר לשאלה הראשונה מארבע – היחס לתובעת אכן הבחין אותה ודומותיה מהציבור</w:t>
      </w:r>
    </w:p>
    <w:p w:rsidR="001D708C" w:rsidRDefault="001D708C" w:rsidP="001D708C">
      <w:pPr>
        <w:pStyle w:val="ad"/>
        <w:spacing w:line="360" w:lineRule="auto"/>
        <w:ind w:left="395"/>
        <w:jc w:val="both"/>
        <w:rPr>
          <w:rFonts w:ascii="David" w:hAnsi="David" w:cs="David"/>
          <w:sz w:val="24"/>
          <w:szCs w:val="24"/>
          <w:rtl/>
        </w:rPr>
      </w:pPr>
      <w:r>
        <w:rPr>
          <w:rFonts w:ascii="David" w:hAnsi="David" w:cs="David"/>
          <w:sz w:val="24"/>
          <w:szCs w:val="24"/>
          <w:rtl/>
        </w:rPr>
        <w:t>מכל המחלוקות שעורר ההליך כאן, הרי נראה שבאשר לדבר אחד קיימת הסכמה. היחס אל התובעת אכן היה יחס המבחין אותה ודומותיה מכלל הציבור.</w:t>
      </w:r>
    </w:p>
    <w:p w:rsidR="009B3732" w:rsidRDefault="009B3732" w:rsidP="001D708C">
      <w:pPr>
        <w:pStyle w:val="ad"/>
        <w:spacing w:line="360" w:lineRule="auto"/>
        <w:ind w:left="395"/>
        <w:jc w:val="both"/>
        <w:rPr>
          <w:rFonts w:ascii="David" w:hAnsi="David" w:cs="David"/>
          <w:sz w:val="24"/>
          <w:szCs w:val="24"/>
          <w:u w:val="single"/>
          <w:rtl/>
        </w:rPr>
      </w:pPr>
    </w:p>
    <w:p w:rsidR="001D708C" w:rsidRDefault="001D708C" w:rsidP="001D708C">
      <w:pPr>
        <w:pStyle w:val="ad"/>
        <w:numPr>
          <w:ilvl w:val="0"/>
          <w:numId w:val="1"/>
        </w:numPr>
        <w:spacing w:line="360" w:lineRule="auto"/>
        <w:ind w:left="-172" w:hanging="284"/>
        <w:jc w:val="both"/>
        <w:rPr>
          <w:rFonts w:ascii="David" w:hAnsi="David" w:cs="David"/>
          <w:sz w:val="24"/>
          <w:szCs w:val="24"/>
        </w:rPr>
      </w:pPr>
      <w:r>
        <w:rPr>
          <w:rFonts w:ascii="David" w:hAnsi="David" w:cs="David"/>
          <w:b/>
          <w:bCs/>
          <w:sz w:val="24"/>
          <w:szCs w:val="24"/>
          <w:u w:val="single"/>
          <w:rtl/>
        </w:rPr>
        <w:t>דיון בשאלה שניה מארבע - מה היו הקריטריונים להבחנה והבדלה? כיצד יושמו אותם קריטריונים ומה היה הליך הבדיקה עד להכרזה על ספרים האסורים לתובעת?</w:t>
      </w:r>
    </w:p>
    <w:p w:rsidR="001D708C" w:rsidRDefault="001D708C" w:rsidP="001D708C">
      <w:pPr>
        <w:pStyle w:val="ad"/>
        <w:spacing w:line="360" w:lineRule="auto"/>
        <w:ind w:left="-172"/>
        <w:jc w:val="both"/>
        <w:rPr>
          <w:rFonts w:ascii="David" w:hAnsi="David" w:cs="David"/>
          <w:sz w:val="24"/>
          <w:szCs w:val="24"/>
        </w:rPr>
      </w:pPr>
    </w:p>
    <w:p w:rsidR="001D708C" w:rsidRDefault="001D708C" w:rsidP="001D708C">
      <w:pPr>
        <w:pStyle w:val="ad"/>
        <w:numPr>
          <w:ilvl w:val="1"/>
          <w:numId w:val="1"/>
        </w:numPr>
        <w:spacing w:line="360" w:lineRule="auto"/>
        <w:ind w:left="395" w:hanging="567"/>
        <w:jc w:val="both"/>
        <w:rPr>
          <w:rFonts w:ascii="David" w:hAnsi="David" w:cs="David"/>
          <w:sz w:val="24"/>
          <w:szCs w:val="24"/>
        </w:rPr>
      </w:pPr>
      <w:r>
        <w:rPr>
          <w:rFonts w:ascii="David" w:hAnsi="David" w:cs="David"/>
          <w:b/>
          <w:bCs/>
          <w:sz w:val="24"/>
          <w:szCs w:val="24"/>
          <w:u w:val="single"/>
          <w:rtl/>
        </w:rPr>
        <w:t>הבחנת היחיד מהציבור – המסגרת הנורמטיבית וחזקת ההפליה</w:t>
      </w:r>
    </w:p>
    <w:p w:rsidR="001D708C" w:rsidRDefault="001D708C" w:rsidP="001D708C">
      <w:pPr>
        <w:pStyle w:val="ad"/>
        <w:numPr>
          <w:ilvl w:val="0"/>
          <w:numId w:val="9"/>
        </w:numPr>
        <w:spacing w:line="360" w:lineRule="auto"/>
        <w:jc w:val="both"/>
        <w:rPr>
          <w:rFonts w:ascii="David" w:hAnsi="David" w:cs="David"/>
          <w:sz w:val="24"/>
          <w:szCs w:val="24"/>
          <w:u w:val="single"/>
        </w:rPr>
      </w:pPr>
      <w:r>
        <w:rPr>
          <w:rFonts w:ascii="David" w:hAnsi="David" w:cs="David"/>
          <w:sz w:val="24"/>
          <w:szCs w:val="24"/>
          <w:rtl/>
        </w:rPr>
        <w:t>ספריה היא "מקום ציבורי" כהגדרתו ב</w:t>
      </w:r>
      <w:r>
        <w:rPr>
          <w:rFonts w:ascii="David" w:hAnsi="David" w:cs="David"/>
          <w:sz w:val="24"/>
          <w:szCs w:val="24"/>
          <w:u w:val="single"/>
          <w:rtl/>
        </w:rPr>
        <w:t>חוק איסור הפליה במוצרים ובשירותים</w:t>
      </w:r>
      <w:r>
        <w:rPr>
          <w:rFonts w:ascii="David" w:hAnsi="David" w:cs="David"/>
          <w:sz w:val="24"/>
          <w:szCs w:val="24"/>
          <w:rtl/>
        </w:rPr>
        <w:t xml:space="preserve">. לענין זה קובע סעיף 2(א) לחוק שהוא סעיף ההגדרות, כך (ההדגשות לא במקור): </w:t>
      </w:r>
    </w:p>
    <w:p w:rsidR="001D708C" w:rsidRDefault="001D708C" w:rsidP="001D708C">
      <w:pPr>
        <w:pStyle w:val="ad"/>
        <w:spacing w:line="360" w:lineRule="auto"/>
        <w:ind w:left="1812"/>
        <w:jc w:val="both"/>
        <w:rPr>
          <w:rFonts w:ascii="David" w:hAnsi="David" w:cs="David"/>
          <w:b/>
          <w:bCs/>
          <w:sz w:val="24"/>
          <w:szCs w:val="24"/>
        </w:rPr>
      </w:pPr>
      <w:r>
        <w:rPr>
          <w:rFonts w:ascii="David" w:hAnsi="David" w:cs="David"/>
          <w:b/>
          <w:bCs/>
          <w:sz w:val="24"/>
          <w:szCs w:val="24"/>
          <w:rtl/>
        </w:rPr>
        <w:t xml:space="preserve">"מקום ציבורי" – </w:t>
      </w:r>
      <w:r>
        <w:rPr>
          <w:rFonts w:ascii="David" w:hAnsi="David" w:cs="David"/>
          <w:b/>
          <w:bCs/>
          <w:sz w:val="24"/>
          <w:szCs w:val="24"/>
          <w:u w:val="single"/>
          <w:rtl/>
        </w:rPr>
        <w:t>כל מקום המיועד לשימוש הציבור</w:t>
      </w:r>
      <w:r>
        <w:rPr>
          <w:rFonts w:ascii="David" w:hAnsi="David" w:cs="David"/>
          <w:b/>
          <w:bCs/>
          <w:sz w:val="24"/>
          <w:szCs w:val="24"/>
          <w:rtl/>
        </w:rPr>
        <w:t xml:space="preserve">, לרבות אתר תיירות, בית מלון, אכסניה, בית הארחה, גן ציבורי, מסעדה, בית קפה, אולם המשמש למופעי בידור ותרבות, מוזיאון, </w:t>
      </w:r>
      <w:r>
        <w:rPr>
          <w:rFonts w:ascii="David" w:hAnsi="David" w:cs="David"/>
          <w:b/>
          <w:bCs/>
          <w:sz w:val="24"/>
          <w:szCs w:val="24"/>
          <w:u w:val="single"/>
          <w:rtl/>
        </w:rPr>
        <w:t>ספריה</w:t>
      </w:r>
      <w:r>
        <w:rPr>
          <w:rFonts w:ascii="David" w:hAnsi="David" w:cs="David"/>
          <w:b/>
          <w:bCs/>
          <w:sz w:val="24"/>
          <w:szCs w:val="24"/>
          <w:rtl/>
        </w:rPr>
        <w:t>, דיסקוטק, אולם או מיתקן ספורט, בריכת שחיה, קניון, חנות, מוסך וכן מקום המציע שירותי תחבורה ציבורית"</w:t>
      </w:r>
    </w:p>
    <w:p w:rsidR="001D708C" w:rsidRDefault="001D708C" w:rsidP="001D708C">
      <w:pPr>
        <w:pStyle w:val="ad"/>
        <w:spacing w:line="360" w:lineRule="auto"/>
        <w:ind w:left="395"/>
        <w:jc w:val="both"/>
        <w:rPr>
          <w:rFonts w:ascii="David" w:hAnsi="David" w:cs="David"/>
          <w:sz w:val="24"/>
          <w:szCs w:val="24"/>
          <w:rtl/>
        </w:rPr>
      </w:pPr>
      <w:r>
        <w:rPr>
          <w:rFonts w:ascii="David" w:hAnsi="David" w:cs="David"/>
          <w:sz w:val="24"/>
          <w:szCs w:val="24"/>
          <w:rtl/>
        </w:rPr>
        <w:tab/>
      </w:r>
    </w:p>
    <w:p w:rsidR="001D708C" w:rsidRDefault="001D708C" w:rsidP="001D708C">
      <w:pPr>
        <w:pStyle w:val="ad"/>
        <w:spacing w:line="360" w:lineRule="auto"/>
        <w:ind w:left="755"/>
        <w:jc w:val="both"/>
        <w:rPr>
          <w:rFonts w:ascii="David" w:hAnsi="David" w:cs="David"/>
          <w:sz w:val="24"/>
          <w:szCs w:val="24"/>
          <w:rtl/>
        </w:rPr>
      </w:pPr>
      <w:r>
        <w:rPr>
          <w:rFonts w:ascii="David" w:hAnsi="David" w:cs="David"/>
          <w:sz w:val="24"/>
          <w:szCs w:val="24"/>
          <w:rtl/>
        </w:rPr>
        <w:t xml:space="preserve">בהינתן העובדה שספריה היא מקום </w:t>
      </w:r>
      <w:r w:rsidR="007C622D">
        <w:rPr>
          <w:rFonts w:ascii="David" w:hAnsi="David" w:cs="David"/>
          <w:sz w:val="24"/>
          <w:szCs w:val="24"/>
          <w:rtl/>
        </w:rPr>
        <w:t>ציבורי, הרי נאסרת ההפליה בהפעלת</w:t>
      </w:r>
      <w:r w:rsidR="007C622D">
        <w:rPr>
          <w:rFonts w:ascii="David" w:hAnsi="David" w:cs="David" w:hint="cs"/>
          <w:sz w:val="24"/>
          <w:szCs w:val="24"/>
          <w:rtl/>
        </w:rPr>
        <w:t>ה</w:t>
      </w:r>
      <w:r>
        <w:rPr>
          <w:rFonts w:ascii="David" w:hAnsi="David" w:cs="David"/>
          <w:sz w:val="24"/>
          <w:szCs w:val="24"/>
          <w:rtl/>
        </w:rPr>
        <w:t>, וכלשון סעיף 3(א) ל</w:t>
      </w:r>
      <w:r>
        <w:rPr>
          <w:rFonts w:ascii="David" w:hAnsi="David" w:cs="David"/>
          <w:sz w:val="24"/>
          <w:szCs w:val="24"/>
          <w:u w:val="single"/>
          <w:rtl/>
        </w:rPr>
        <w:t>חוק איסור הפליה במוצרים ובשירותים</w:t>
      </w:r>
      <w:r>
        <w:rPr>
          <w:rFonts w:ascii="David" w:hAnsi="David" w:cs="David"/>
          <w:sz w:val="24"/>
          <w:szCs w:val="24"/>
          <w:rtl/>
        </w:rPr>
        <w:t xml:space="preserve"> (ההדגשות לא במקור) – </w:t>
      </w:r>
      <w:r>
        <w:rPr>
          <w:rFonts w:ascii="David" w:hAnsi="David" w:cs="David"/>
          <w:b/>
          <w:bCs/>
          <w:sz w:val="24"/>
          <w:szCs w:val="24"/>
          <w:rtl/>
        </w:rPr>
        <w:t xml:space="preserve">"מי שעיסוקו בהספקת מוצר </w:t>
      </w:r>
      <w:r>
        <w:rPr>
          <w:rFonts w:ascii="David" w:hAnsi="David" w:cs="David"/>
          <w:b/>
          <w:bCs/>
          <w:sz w:val="24"/>
          <w:szCs w:val="24"/>
          <w:rtl/>
        </w:rPr>
        <w:lastRenderedPageBreak/>
        <w:t>או שירות ציבורי או בהפעלת מקום ציבורי, לא יפלה בהספקת המוצר או השירות הציבורי,..."</w:t>
      </w:r>
      <w:r>
        <w:rPr>
          <w:rFonts w:ascii="David" w:hAnsi="David" w:cs="David"/>
          <w:sz w:val="24"/>
          <w:szCs w:val="24"/>
          <w:rtl/>
        </w:rPr>
        <w:t>.</w:t>
      </w:r>
    </w:p>
    <w:p w:rsidR="001D708C" w:rsidRDefault="001D708C" w:rsidP="001D708C">
      <w:pPr>
        <w:pStyle w:val="ad"/>
        <w:spacing w:line="360" w:lineRule="auto"/>
        <w:ind w:left="755"/>
        <w:jc w:val="both"/>
        <w:rPr>
          <w:rFonts w:ascii="David" w:hAnsi="David" w:cs="David"/>
          <w:sz w:val="24"/>
          <w:szCs w:val="24"/>
          <w:rtl/>
        </w:rPr>
      </w:pPr>
    </w:p>
    <w:p w:rsidR="001D708C" w:rsidRDefault="001D708C" w:rsidP="001D708C">
      <w:pPr>
        <w:pStyle w:val="ad"/>
        <w:numPr>
          <w:ilvl w:val="0"/>
          <w:numId w:val="9"/>
        </w:numPr>
        <w:spacing w:line="360" w:lineRule="auto"/>
        <w:jc w:val="both"/>
        <w:rPr>
          <w:rFonts w:ascii="David" w:hAnsi="David" w:cs="David"/>
          <w:sz w:val="24"/>
          <w:szCs w:val="24"/>
          <w:rtl/>
        </w:rPr>
      </w:pPr>
      <w:r>
        <w:rPr>
          <w:rFonts w:ascii="David" w:hAnsi="David" w:cs="David"/>
          <w:sz w:val="24"/>
          <w:szCs w:val="24"/>
          <w:rtl/>
        </w:rPr>
        <w:t>איסור ההפליה נקבע בסעיף 3 ל</w:t>
      </w:r>
      <w:r>
        <w:rPr>
          <w:rFonts w:ascii="David" w:hAnsi="David" w:cs="David"/>
          <w:sz w:val="24"/>
          <w:szCs w:val="24"/>
          <w:u w:val="single"/>
          <w:rtl/>
        </w:rPr>
        <w:t>חוק איסור הפליה במוצרים ובשירותים</w:t>
      </w:r>
      <w:r>
        <w:rPr>
          <w:rFonts w:ascii="David" w:hAnsi="David" w:cs="David"/>
          <w:sz w:val="24"/>
          <w:szCs w:val="24"/>
          <w:rtl/>
        </w:rPr>
        <w:t>. בהמשך, קובע סעיף 6 לחוק שורה של מקרים בהם קמה חזקת הפליה אסורה, למעט אם הנתבע הוכיח אחרת. וכלשון סעיף 6 לחוק (ההדגשות לא במקור):</w:t>
      </w:r>
    </w:p>
    <w:p w:rsidR="001D708C" w:rsidRDefault="001D708C" w:rsidP="001D708C">
      <w:pPr>
        <w:pStyle w:val="ad"/>
        <w:spacing w:line="360" w:lineRule="auto"/>
        <w:ind w:left="1531"/>
        <w:jc w:val="both"/>
        <w:rPr>
          <w:rFonts w:ascii="David" w:hAnsi="David" w:cs="David"/>
          <w:sz w:val="24"/>
          <w:szCs w:val="24"/>
          <w:rtl/>
        </w:rPr>
      </w:pPr>
      <w:r>
        <w:rPr>
          <w:rFonts w:ascii="David" w:hAnsi="David" w:cs="David"/>
          <w:b/>
          <w:bCs/>
          <w:sz w:val="24"/>
          <w:szCs w:val="24"/>
          <w:rtl/>
        </w:rPr>
        <w:t xml:space="preserve">הוכיח התובע בהליך אזרחי לפי חוק זה אחד מאלה, </w:t>
      </w:r>
      <w:r>
        <w:rPr>
          <w:rFonts w:ascii="David" w:hAnsi="David" w:cs="David"/>
          <w:b/>
          <w:bCs/>
          <w:sz w:val="24"/>
          <w:szCs w:val="24"/>
          <w:u w:val="single"/>
          <w:rtl/>
        </w:rPr>
        <w:t>חזקה שהנתבע פעל בניגוד להוראות סעיף 3</w:t>
      </w:r>
      <w:r>
        <w:rPr>
          <w:rFonts w:ascii="David" w:hAnsi="David" w:cs="David"/>
          <w:b/>
          <w:bCs/>
          <w:sz w:val="24"/>
          <w:szCs w:val="24"/>
          <w:rtl/>
        </w:rPr>
        <w:t>, כל עוד לא הוכיח אחרת</w:t>
      </w:r>
      <w:r>
        <w:rPr>
          <w:rFonts w:ascii="David" w:hAnsi="David" w:cs="David"/>
          <w:sz w:val="24"/>
          <w:szCs w:val="24"/>
          <w:rtl/>
        </w:rPr>
        <w:t>:</w:t>
      </w:r>
    </w:p>
    <w:p w:rsidR="001D708C" w:rsidRDefault="001D708C" w:rsidP="001D708C">
      <w:pPr>
        <w:pStyle w:val="ad"/>
        <w:spacing w:line="360" w:lineRule="auto"/>
        <w:ind w:left="1531"/>
        <w:jc w:val="both"/>
        <w:rPr>
          <w:rFonts w:ascii="David" w:hAnsi="David" w:cs="David"/>
          <w:sz w:val="24"/>
          <w:szCs w:val="24"/>
          <w:rtl/>
        </w:rPr>
      </w:pPr>
    </w:p>
    <w:p w:rsidR="001D708C" w:rsidRDefault="001D708C" w:rsidP="001D708C">
      <w:pPr>
        <w:pStyle w:val="ad"/>
        <w:spacing w:line="360" w:lineRule="auto"/>
        <w:ind w:left="2237" w:hanging="708"/>
        <w:jc w:val="both"/>
        <w:rPr>
          <w:rFonts w:ascii="David" w:hAnsi="David" w:cs="David"/>
          <w:b/>
          <w:bCs/>
          <w:sz w:val="24"/>
          <w:szCs w:val="24"/>
          <w:rtl/>
        </w:rPr>
      </w:pPr>
      <w:r>
        <w:rPr>
          <w:rFonts w:ascii="David" w:hAnsi="David" w:cs="David"/>
          <w:b/>
          <w:bCs/>
          <w:sz w:val="24"/>
          <w:szCs w:val="24"/>
          <w:rtl/>
        </w:rPr>
        <w:t>(1)</w:t>
      </w:r>
      <w:r>
        <w:rPr>
          <w:rFonts w:ascii="David" w:hAnsi="David" w:cs="David"/>
          <w:b/>
          <w:bCs/>
          <w:sz w:val="24"/>
          <w:szCs w:val="24"/>
          <w:rtl/>
        </w:rPr>
        <w:tab/>
        <w:t xml:space="preserve">הנתבע </w:t>
      </w:r>
      <w:r>
        <w:rPr>
          <w:rFonts w:ascii="David" w:hAnsi="David" w:cs="David"/>
          <w:b/>
          <w:bCs/>
          <w:sz w:val="24"/>
          <w:szCs w:val="24"/>
          <w:u w:val="single"/>
          <w:rtl/>
        </w:rPr>
        <w:t>סירב לספק מוצר או שירות ציבורי</w:t>
      </w:r>
      <w:r>
        <w:rPr>
          <w:rFonts w:ascii="David" w:hAnsi="David" w:cs="David"/>
          <w:b/>
          <w:bCs/>
          <w:sz w:val="24"/>
          <w:szCs w:val="24"/>
          <w:rtl/>
        </w:rPr>
        <w:t>, מנע כניסה למקום ציבורי או סירב לתת שירות במקום ציבורי, לאחר שבירר פרטים הנוגעים לעילות ההפליה המנויות בסעיף 3;</w:t>
      </w:r>
    </w:p>
    <w:p w:rsidR="001D708C" w:rsidRDefault="001D708C" w:rsidP="001D708C">
      <w:pPr>
        <w:pStyle w:val="ad"/>
        <w:spacing w:line="360" w:lineRule="auto"/>
        <w:ind w:left="2237" w:hanging="708"/>
        <w:jc w:val="both"/>
        <w:rPr>
          <w:rFonts w:ascii="David" w:hAnsi="David" w:cs="David"/>
          <w:b/>
          <w:bCs/>
          <w:sz w:val="24"/>
          <w:szCs w:val="24"/>
          <w:rtl/>
        </w:rPr>
      </w:pPr>
      <w:r>
        <w:rPr>
          <w:rFonts w:ascii="David" w:hAnsi="David" w:cs="David"/>
          <w:b/>
          <w:bCs/>
          <w:sz w:val="24"/>
          <w:szCs w:val="24"/>
          <w:rtl/>
        </w:rPr>
        <w:t>(2)</w:t>
      </w:r>
      <w:r>
        <w:rPr>
          <w:rFonts w:ascii="David" w:hAnsi="David" w:cs="David"/>
          <w:b/>
          <w:bCs/>
          <w:sz w:val="24"/>
          <w:szCs w:val="24"/>
          <w:rtl/>
        </w:rPr>
        <w:tab/>
        <w:t xml:space="preserve">הנתבע </w:t>
      </w:r>
      <w:r>
        <w:rPr>
          <w:rFonts w:ascii="David" w:hAnsi="David" w:cs="David"/>
          <w:b/>
          <w:bCs/>
          <w:sz w:val="24"/>
          <w:szCs w:val="24"/>
          <w:u w:val="single"/>
          <w:rtl/>
        </w:rPr>
        <w:t>סירב לספק מוצר או שירות ציבורי</w:t>
      </w:r>
      <w:r>
        <w:rPr>
          <w:rFonts w:ascii="David" w:hAnsi="David" w:cs="David"/>
          <w:b/>
          <w:bCs/>
          <w:sz w:val="24"/>
          <w:szCs w:val="24"/>
          <w:rtl/>
        </w:rPr>
        <w:t>, מנע כניסה למקום ציבורי או סירב לתת שירות במקום ציבורי, לנמנים עם קבוצה המאופיינת לפי עילה מעילות ההפליה המנויות בסעיף 3, ולא סירב כאמור, באותן נסיבות, למי שאינם נמנים עם אותה קבוצה;</w:t>
      </w:r>
    </w:p>
    <w:p w:rsidR="001D708C" w:rsidRDefault="001D708C" w:rsidP="001D708C">
      <w:pPr>
        <w:pStyle w:val="ad"/>
        <w:spacing w:line="360" w:lineRule="auto"/>
        <w:ind w:left="2237" w:hanging="708"/>
        <w:jc w:val="both"/>
        <w:rPr>
          <w:rFonts w:ascii="David" w:hAnsi="David" w:cs="David"/>
          <w:b/>
          <w:bCs/>
          <w:sz w:val="24"/>
          <w:szCs w:val="24"/>
          <w:rtl/>
        </w:rPr>
      </w:pPr>
      <w:r>
        <w:rPr>
          <w:rFonts w:ascii="David" w:hAnsi="David" w:cs="David"/>
          <w:b/>
          <w:bCs/>
          <w:sz w:val="24"/>
          <w:szCs w:val="24"/>
          <w:rtl/>
        </w:rPr>
        <w:t>(3)</w:t>
      </w:r>
      <w:r>
        <w:rPr>
          <w:rFonts w:ascii="David" w:hAnsi="David" w:cs="David"/>
          <w:b/>
          <w:bCs/>
          <w:sz w:val="24"/>
          <w:szCs w:val="24"/>
          <w:rtl/>
        </w:rPr>
        <w:tab/>
        <w:t>הנתבע התנה הספקת מוצר או שירות ציבורי, כניסה למקום ציבורי או מתן שירות במקום ציבורי, לנמנים עם קבוצה המאופיינת לפי עילה מעילות ההפליה המנויות בסעיף 3, בקיום תנאי אשר לא נדרש ממי שאינם נמנים עם אותה קבוצה.</w:t>
      </w:r>
    </w:p>
    <w:p w:rsidR="001D708C" w:rsidRDefault="001D708C" w:rsidP="001D708C">
      <w:pPr>
        <w:pStyle w:val="ad"/>
        <w:spacing w:line="360" w:lineRule="auto"/>
        <w:ind w:left="2237" w:hanging="708"/>
        <w:jc w:val="both"/>
        <w:rPr>
          <w:rFonts w:ascii="David" w:hAnsi="David" w:cs="David"/>
          <w:b/>
          <w:bCs/>
          <w:sz w:val="24"/>
          <w:szCs w:val="24"/>
          <w:rtl/>
        </w:rPr>
      </w:pPr>
      <w:r>
        <w:rPr>
          <w:rFonts w:ascii="David" w:hAnsi="David" w:cs="David"/>
          <w:b/>
          <w:bCs/>
          <w:sz w:val="24"/>
          <w:szCs w:val="24"/>
          <w:rtl/>
        </w:rPr>
        <w:t xml:space="preserve"> (4)</w:t>
      </w:r>
      <w:r>
        <w:rPr>
          <w:rFonts w:ascii="David" w:hAnsi="David" w:cs="David"/>
          <w:b/>
          <w:bCs/>
          <w:sz w:val="24"/>
          <w:szCs w:val="24"/>
          <w:rtl/>
        </w:rPr>
        <w:tab/>
        <w:t>הנתבע עיכב הספקת מוצר או שירות ציבורי, כניסה למקום ציבורי או מתן שירות במקום ציבורי, לנמנים עם קבוצה המאופיינת לפי עילה מעילות ההפליה המנויות בסעיף 3, ולא עיכב כאמור, באותן נסיבות, את מי שאינם נמנים עם אותה קבוצה.</w:t>
      </w:r>
    </w:p>
    <w:p w:rsidR="001D708C" w:rsidRDefault="001D708C" w:rsidP="001D708C">
      <w:pPr>
        <w:pStyle w:val="ad"/>
        <w:spacing w:line="360" w:lineRule="auto"/>
        <w:ind w:left="395"/>
        <w:jc w:val="both"/>
        <w:rPr>
          <w:rFonts w:ascii="David" w:hAnsi="David" w:cs="David"/>
          <w:sz w:val="24"/>
          <w:szCs w:val="24"/>
          <w:rtl/>
        </w:rPr>
      </w:pPr>
    </w:p>
    <w:p w:rsidR="001D708C" w:rsidRDefault="001D708C" w:rsidP="007C622D">
      <w:pPr>
        <w:pStyle w:val="ad"/>
        <w:spacing w:line="360" w:lineRule="auto"/>
        <w:ind w:left="755"/>
        <w:jc w:val="both"/>
        <w:rPr>
          <w:rFonts w:ascii="David" w:hAnsi="David" w:cs="David"/>
          <w:sz w:val="24"/>
          <w:szCs w:val="24"/>
          <w:rtl/>
        </w:rPr>
      </w:pPr>
      <w:r>
        <w:rPr>
          <w:rFonts w:ascii="David" w:hAnsi="David" w:cs="David"/>
          <w:sz w:val="24"/>
          <w:szCs w:val="24"/>
          <w:rtl/>
        </w:rPr>
        <w:t xml:space="preserve">ניתן לתמצת כל האמור לעיל לכך שבמקרה של </w:t>
      </w:r>
      <w:r>
        <w:rPr>
          <w:rFonts w:ascii="David" w:hAnsi="David" w:cs="David"/>
          <w:sz w:val="24"/>
          <w:szCs w:val="24"/>
          <w:u w:val="single"/>
          <w:rtl/>
        </w:rPr>
        <w:t>הבחנה</w:t>
      </w:r>
      <w:r>
        <w:rPr>
          <w:rFonts w:ascii="David" w:hAnsi="David" w:cs="David"/>
          <w:sz w:val="24"/>
          <w:szCs w:val="24"/>
          <w:rtl/>
        </w:rPr>
        <w:t xml:space="preserve"> ב</w:t>
      </w:r>
      <w:r w:rsidR="007C622D">
        <w:rPr>
          <w:rFonts w:ascii="David" w:hAnsi="David" w:cs="David"/>
          <w:sz w:val="24"/>
          <w:szCs w:val="24"/>
          <w:rtl/>
        </w:rPr>
        <w:t>מתן שירות ציבורי ובמקום ציבורי</w:t>
      </w:r>
      <w:r w:rsidR="007C622D">
        <w:rPr>
          <w:rFonts w:ascii="David" w:hAnsi="David" w:cs="David" w:hint="cs"/>
          <w:sz w:val="24"/>
          <w:szCs w:val="24"/>
          <w:rtl/>
        </w:rPr>
        <w:t xml:space="preserve"> </w:t>
      </w:r>
      <w:r>
        <w:rPr>
          <w:rFonts w:ascii="David" w:hAnsi="David" w:cs="David"/>
          <w:sz w:val="24"/>
          <w:szCs w:val="24"/>
          <w:rtl/>
        </w:rPr>
        <w:t>– הרי ברגיל על נותן השירות להוכיח שההבחנה אינה בגדר הפליה אסורה.</w:t>
      </w:r>
    </w:p>
    <w:p w:rsidR="001D708C" w:rsidRDefault="001D708C" w:rsidP="001D708C">
      <w:pPr>
        <w:pStyle w:val="ad"/>
        <w:spacing w:line="360" w:lineRule="auto"/>
        <w:ind w:left="1080"/>
        <w:jc w:val="both"/>
        <w:rPr>
          <w:rFonts w:ascii="David" w:hAnsi="David" w:cs="David"/>
          <w:sz w:val="24"/>
          <w:szCs w:val="24"/>
          <w:rtl/>
        </w:rPr>
      </w:pPr>
    </w:p>
    <w:p w:rsidR="001D708C" w:rsidRDefault="007C622D" w:rsidP="007C622D">
      <w:pPr>
        <w:pStyle w:val="ad"/>
        <w:numPr>
          <w:ilvl w:val="1"/>
          <w:numId w:val="1"/>
        </w:numPr>
        <w:spacing w:line="360" w:lineRule="auto"/>
        <w:ind w:left="395" w:hanging="567"/>
        <w:jc w:val="both"/>
        <w:rPr>
          <w:rFonts w:ascii="David" w:hAnsi="David" w:cs="David"/>
          <w:b/>
          <w:bCs/>
          <w:sz w:val="24"/>
          <w:szCs w:val="24"/>
          <w:u w:val="single"/>
          <w:rtl/>
        </w:rPr>
      </w:pPr>
      <w:r>
        <w:rPr>
          <w:rFonts w:ascii="David" w:hAnsi="David" w:cs="David"/>
          <w:b/>
          <w:bCs/>
          <w:sz w:val="24"/>
          <w:szCs w:val="24"/>
          <w:u w:val="single"/>
          <w:rtl/>
        </w:rPr>
        <w:t xml:space="preserve">על החשיבות במתן </w:t>
      </w:r>
      <w:r w:rsidR="001D708C">
        <w:rPr>
          <w:rFonts w:ascii="David" w:hAnsi="David" w:cs="David"/>
          <w:b/>
          <w:bCs/>
          <w:sz w:val="24"/>
          <w:szCs w:val="24"/>
          <w:u w:val="single"/>
          <w:rtl/>
        </w:rPr>
        <w:t>קריטריונים להבחנה</w:t>
      </w:r>
      <w:r>
        <w:rPr>
          <w:rFonts w:ascii="David" w:hAnsi="David" w:cs="David" w:hint="cs"/>
          <w:b/>
          <w:bCs/>
          <w:sz w:val="24"/>
          <w:szCs w:val="24"/>
          <w:u w:val="single"/>
          <w:rtl/>
        </w:rPr>
        <w:t xml:space="preserve"> (נושא שעלה </w:t>
      </w:r>
      <w:r w:rsidR="001D708C">
        <w:rPr>
          <w:rFonts w:ascii="David" w:hAnsi="David" w:cs="David"/>
          <w:b/>
          <w:bCs/>
          <w:sz w:val="24"/>
          <w:szCs w:val="24"/>
          <w:u w:val="single"/>
          <w:rtl/>
        </w:rPr>
        <w:t xml:space="preserve">כבר </w:t>
      </w:r>
      <w:r w:rsidR="00EA581A">
        <w:rPr>
          <w:rFonts w:ascii="David" w:hAnsi="David" w:cs="David" w:hint="cs"/>
          <w:b/>
          <w:bCs/>
          <w:sz w:val="24"/>
          <w:szCs w:val="24"/>
          <w:u w:val="single"/>
          <w:rtl/>
        </w:rPr>
        <w:t xml:space="preserve">בדיון </w:t>
      </w:r>
      <w:r w:rsidR="001D708C">
        <w:rPr>
          <w:rFonts w:ascii="David" w:hAnsi="David" w:cs="David"/>
          <w:b/>
          <w:bCs/>
          <w:sz w:val="24"/>
          <w:szCs w:val="24"/>
          <w:u w:val="single"/>
          <w:rtl/>
        </w:rPr>
        <w:t>קדם המשפט</w:t>
      </w:r>
      <w:r>
        <w:rPr>
          <w:rFonts w:ascii="David" w:hAnsi="David" w:cs="David" w:hint="cs"/>
          <w:b/>
          <w:bCs/>
          <w:sz w:val="24"/>
          <w:szCs w:val="24"/>
          <w:u w:val="single"/>
          <w:rtl/>
        </w:rPr>
        <w:t>)</w:t>
      </w:r>
    </w:p>
    <w:p w:rsidR="001D708C" w:rsidRPr="009B3732" w:rsidRDefault="001D708C" w:rsidP="001D708C">
      <w:pPr>
        <w:pStyle w:val="ad"/>
        <w:numPr>
          <w:ilvl w:val="0"/>
          <w:numId w:val="10"/>
        </w:numPr>
        <w:spacing w:line="360" w:lineRule="auto"/>
        <w:jc w:val="both"/>
        <w:rPr>
          <w:rFonts w:ascii="David" w:hAnsi="David" w:cs="David"/>
          <w:sz w:val="24"/>
          <w:szCs w:val="24"/>
        </w:rPr>
      </w:pPr>
      <w:r w:rsidRPr="009B3732">
        <w:rPr>
          <w:rFonts w:ascii="David" w:hAnsi="David" w:cs="David"/>
          <w:sz w:val="24"/>
          <w:szCs w:val="24"/>
          <w:rtl/>
        </w:rPr>
        <w:t>התובעת הובחנה והובדלה מהציבור. על מנת לבחון את נימוקי ההבחנה והפרדת התובעת מהציבור, ממילא יש להתייחס לקריטריונים, לשיקולים ולדרך הפעלת שיקול הדעת של הנתבעת. גם כך, יש לתהות ולברר כל מצב בו שירות ציבורי נשלל מאזרחית בשל מעמדה האישי. בוודאי יש לבחון האם שלילת אותו שירות ציבורי נעשה לאחר הפעלת שיקול דעת, או שמא נעשה בכוחנות והתעלמות מזכויות הציבור.</w:t>
      </w:r>
    </w:p>
    <w:p w:rsidR="001D708C" w:rsidRPr="009B3732" w:rsidRDefault="001D708C" w:rsidP="001D708C">
      <w:pPr>
        <w:pStyle w:val="ad"/>
        <w:spacing w:line="360" w:lineRule="auto"/>
        <w:ind w:left="755"/>
        <w:jc w:val="both"/>
        <w:rPr>
          <w:rFonts w:ascii="David" w:hAnsi="David" w:cs="David"/>
          <w:sz w:val="24"/>
          <w:szCs w:val="24"/>
        </w:rPr>
      </w:pPr>
    </w:p>
    <w:p w:rsidR="001D708C" w:rsidRPr="009B3732" w:rsidRDefault="001D708C" w:rsidP="009B3732">
      <w:pPr>
        <w:pStyle w:val="ad"/>
        <w:spacing w:line="360" w:lineRule="auto"/>
        <w:ind w:left="755"/>
        <w:jc w:val="both"/>
        <w:rPr>
          <w:rFonts w:ascii="David" w:hAnsi="David" w:cs="David"/>
          <w:color w:val="000000"/>
          <w:sz w:val="24"/>
          <w:szCs w:val="24"/>
        </w:rPr>
      </w:pPr>
      <w:r w:rsidRPr="009B3732">
        <w:rPr>
          <w:rFonts w:ascii="David" w:hAnsi="David" w:cs="David"/>
          <w:sz w:val="24"/>
          <w:szCs w:val="24"/>
          <w:rtl/>
        </w:rPr>
        <w:lastRenderedPageBreak/>
        <w:t xml:space="preserve">בדיקת שיקול הדעת של הגורם המבחין, וקבלת או הפרכת טיעוני הגורם המבחין – מחייבים חשיפת הבדיקות וההחלטות של הגורם המבחין. קביעה כללית המפנה אל "מנחי המגזר" היא קביעה אותה לא ניתן להפריך, ומכאן גם לא ניתן להוכיח. לענין זה נקבע בע"פ 1620/10, </w:t>
      </w:r>
      <w:r w:rsidRPr="009B3732">
        <w:rPr>
          <w:rFonts w:ascii="David" w:hAnsi="David" w:cs="David"/>
          <w:color w:val="000000"/>
          <w:sz w:val="24"/>
          <w:szCs w:val="24"/>
          <w:u w:val="single"/>
          <w:rtl/>
        </w:rPr>
        <w:t>ניקולאי מצגורה נ' מדינת ישראל</w:t>
      </w:r>
      <w:r w:rsidRPr="009B3732">
        <w:rPr>
          <w:rFonts w:ascii="David" w:hAnsi="David" w:cs="David"/>
          <w:color w:val="000000"/>
          <w:sz w:val="24"/>
          <w:szCs w:val="24"/>
          <w:rtl/>
        </w:rPr>
        <w:t xml:space="preserve"> (מיום 3/12/2013, הש' ס' ג'ובראן, י' דנציגר, נ' הנדל), תוך הפניה ל"תיאוריית ההפרכה" של המלומד קרל פופר כי </w:t>
      </w:r>
      <w:r w:rsidRPr="009B3732">
        <w:rPr>
          <w:rFonts w:ascii="David" w:hAnsi="David" w:cs="David"/>
          <w:b/>
          <w:bCs/>
          <w:color w:val="000000"/>
          <w:sz w:val="24"/>
          <w:szCs w:val="24"/>
          <w:rtl/>
        </w:rPr>
        <w:t>"הוכחה מחייבת בדיקה. בדיקה מתורגמת לתוצאה מספרית</w:t>
      </w:r>
      <w:r w:rsidRPr="009B3732">
        <w:rPr>
          <w:rFonts w:ascii="David" w:hAnsi="David" w:cs="David"/>
          <w:color w:val="000000"/>
          <w:sz w:val="24"/>
          <w:szCs w:val="24"/>
          <w:rtl/>
        </w:rPr>
        <w:t xml:space="preserve">". להרחבה ר' גם ע"פ 7939/10, </w:t>
      </w:r>
      <w:r w:rsidRPr="009B3732">
        <w:rPr>
          <w:rFonts w:ascii="David" w:hAnsi="David" w:cs="David"/>
          <w:color w:val="000000"/>
          <w:sz w:val="24"/>
          <w:szCs w:val="24"/>
          <w:u w:val="single"/>
          <w:rtl/>
        </w:rPr>
        <w:t>רומן זדורוב נ' מדינת ישראל</w:t>
      </w:r>
      <w:r w:rsidRPr="009B3732">
        <w:rPr>
          <w:rFonts w:ascii="Arial" w:hAnsi="Arial" w:cs="Arial"/>
          <w:color w:val="000000"/>
          <w:sz w:val="24"/>
          <w:szCs w:val="24"/>
          <w:rtl/>
        </w:rPr>
        <w:t> </w:t>
      </w:r>
      <w:r w:rsidRPr="009B3732">
        <w:rPr>
          <w:rFonts w:ascii="David" w:hAnsi="David" w:cs="David"/>
          <w:color w:val="000000"/>
          <w:sz w:val="24"/>
          <w:szCs w:val="24"/>
        </w:rPr>
        <w:t>)</w:t>
      </w:r>
      <w:r w:rsidRPr="009B3732">
        <w:rPr>
          <w:rFonts w:ascii="David" w:hAnsi="David" w:cs="David"/>
          <w:color w:val="000000"/>
          <w:sz w:val="24"/>
          <w:szCs w:val="24"/>
          <w:rtl/>
        </w:rPr>
        <w:t>מיום 23/12/2015, הש' י' דנציגר, י' עמית, צ' זילברטל</w:t>
      </w:r>
      <w:r w:rsidRPr="009B3732">
        <w:rPr>
          <w:rFonts w:ascii="David" w:hAnsi="David" w:cs="David"/>
          <w:color w:val="000000"/>
          <w:sz w:val="24"/>
          <w:szCs w:val="24"/>
        </w:rPr>
        <w:t> - </w:t>
      </w:r>
      <w:r w:rsidRPr="009B3732">
        <w:rPr>
          <w:rFonts w:ascii="David" w:hAnsi="David" w:cs="David"/>
          <w:color w:val="000000"/>
          <w:sz w:val="24"/>
          <w:szCs w:val="24"/>
          <w:rtl/>
        </w:rPr>
        <w:t>בסעיף 37 לפסק דינו של הש' י' דנציג</w:t>
      </w:r>
      <w:r w:rsidR="009B3732">
        <w:rPr>
          <w:rFonts w:ascii="David" w:hAnsi="David" w:cs="David" w:hint="cs"/>
          <w:color w:val="000000"/>
          <w:sz w:val="24"/>
          <w:szCs w:val="24"/>
          <w:rtl/>
        </w:rPr>
        <w:t>ר).</w:t>
      </w:r>
    </w:p>
    <w:p w:rsidR="001D708C" w:rsidRDefault="001D708C" w:rsidP="001D708C">
      <w:pPr>
        <w:pStyle w:val="ad"/>
        <w:spacing w:line="360" w:lineRule="auto"/>
        <w:ind w:left="755"/>
        <w:jc w:val="both"/>
        <w:rPr>
          <w:rFonts w:ascii="David" w:hAnsi="David" w:cs="David"/>
          <w:color w:val="000000"/>
          <w:sz w:val="24"/>
          <w:szCs w:val="24"/>
        </w:rPr>
      </w:pPr>
    </w:p>
    <w:p w:rsidR="001D708C" w:rsidRDefault="001D708C" w:rsidP="00EA581A">
      <w:pPr>
        <w:pStyle w:val="ad"/>
        <w:numPr>
          <w:ilvl w:val="0"/>
          <w:numId w:val="10"/>
        </w:numPr>
        <w:spacing w:line="360" w:lineRule="auto"/>
        <w:jc w:val="both"/>
        <w:rPr>
          <w:rFonts w:ascii="David" w:hAnsi="David" w:cs="David"/>
          <w:color w:val="000000"/>
          <w:sz w:val="24"/>
          <w:szCs w:val="24"/>
          <w:rtl/>
        </w:rPr>
      </w:pPr>
      <w:r>
        <w:rPr>
          <w:rFonts w:ascii="David" w:hAnsi="David" w:cs="David"/>
          <w:color w:val="000000"/>
          <w:sz w:val="24"/>
          <w:szCs w:val="24"/>
          <w:rtl/>
        </w:rPr>
        <w:t xml:space="preserve">גם התובעת עמדה על כך שאילו </w:t>
      </w:r>
      <w:r w:rsidR="00EA581A">
        <w:rPr>
          <w:rFonts w:ascii="David" w:hAnsi="David" w:cs="David" w:hint="cs"/>
          <w:color w:val="000000"/>
          <w:sz w:val="24"/>
          <w:szCs w:val="24"/>
          <w:rtl/>
        </w:rPr>
        <w:t xml:space="preserve">אכן </w:t>
      </w:r>
      <w:r>
        <w:rPr>
          <w:rFonts w:ascii="David" w:hAnsi="David" w:cs="David"/>
          <w:color w:val="000000"/>
          <w:sz w:val="24"/>
          <w:szCs w:val="24"/>
          <w:rtl/>
        </w:rPr>
        <w:t>היו כללי</w:t>
      </w:r>
      <w:r w:rsidR="00EA581A">
        <w:rPr>
          <w:rFonts w:ascii="David" w:hAnsi="David" w:cs="David" w:hint="cs"/>
          <w:color w:val="000000"/>
          <w:sz w:val="24"/>
          <w:szCs w:val="24"/>
          <w:rtl/>
        </w:rPr>
        <w:t xml:space="preserve"> הבחנה כלשהם</w:t>
      </w:r>
      <w:r>
        <w:rPr>
          <w:rFonts w:ascii="David" w:hAnsi="David" w:cs="David"/>
          <w:color w:val="000000"/>
          <w:sz w:val="24"/>
          <w:szCs w:val="24"/>
          <w:rtl/>
        </w:rPr>
        <w:t xml:space="preserve"> – ניתן</w:t>
      </w:r>
      <w:r w:rsidR="00EA581A">
        <w:rPr>
          <w:rFonts w:ascii="David" w:hAnsi="David" w:cs="David"/>
          <w:color w:val="000000"/>
          <w:sz w:val="24"/>
          <w:szCs w:val="24"/>
          <w:rtl/>
        </w:rPr>
        <w:t xml:space="preserve"> היה ללמוד אותם ולהתמודד עימם. </w:t>
      </w:r>
      <w:r w:rsidR="00EA581A">
        <w:rPr>
          <w:rFonts w:ascii="David" w:hAnsi="David" w:cs="David" w:hint="cs"/>
          <w:color w:val="000000"/>
          <w:sz w:val="24"/>
          <w:szCs w:val="24"/>
          <w:rtl/>
        </w:rPr>
        <w:t>התובעת ציינה ש</w:t>
      </w:r>
      <w:r>
        <w:rPr>
          <w:rFonts w:ascii="David" w:hAnsi="David" w:cs="David"/>
          <w:color w:val="000000"/>
          <w:sz w:val="24"/>
          <w:szCs w:val="24"/>
          <w:rtl/>
        </w:rPr>
        <w:t>אילו ההחלטה אכן היתה החלטה מוסדרת – הרי היא היתה יכולה לדון ביחס אליה. וכך העידה כאשר נשאלה שאלה תאורטית (ע"מ 12-13 לפרוטוקול, החל מש' 9 בע"מ 12 - ההדגשות לא במקור):</w:t>
      </w:r>
    </w:p>
    <w:p w:rsidR="001D708C" w:rsidRDefault="001D708C" w:rsidP="001D708C">
      <w:pPr>
        <w:pStyle w:val="ad"/>
        <w:spacing w:line="360" w:lineRule="auto"/>
        <w:ind w:left="3513" w:hanging="1797"/>
        <w:jc w:val="both"/>
        <w:rPr>
          <w:rFonts w:ascii="David" w:hAnsi="David" w:cs="David"/>
          <w:b/>
          <w:bCs/>
          <w:color w:val="000000"/>
          <w:sz w:val="24"/>
          <w:szCs w:val="24"/>
          <w:rtl/>
        </w:rPr>
      </w:pPr>
      <w:r>
        <w:rPr>
          <w:rFonts w:ascii="David" w:hAnsi="David" w:cs="David"/>
          <w:b/>
          <w:bCs/>
          <w:color w:val="000000"/>
          <w:sz w:val="24"/>
          <w:szCs w:val="24"/>
          <w:rtl/>
        </w:rPr>
        <w:t xml:space="preserve">עו"ד ליבוביץ: </w:t>
      </w:r>
      <w:r>
        <w:rPr>
          <w:rFonts w:ascii="David" w:hAnsi="David" w:cs="David"/>
          <w:b/>
          <w:bCs/>
          <w:color w:val="000000"/>
          <w:sz w:val="24"/>
          <w:szCs w:val="24"/>
          <w:rtl/>
        </w:rPr>
        <w:tab/>
      </w:r>
      <w:r>
        <w:rPr>
          <w:rFonts w:ascii="David" w:hAnsi="David" w:cs="David"/>
          <w:b/>
          <w:bCs/>
          <w:color w:val="000000"/>
          <w:sz w:val="24"/>
          <w:szCs w:val="24"/>
          <w:u w:val="single"/>
          <w:rtl/>
        </w:rPr>
        <w:t>אם</w:t>
      </w:r>
      <w:r>
        <w:rPr>
          <w:rFonts w:ascii="David" w:hAnsi="David" w:cs="David"/>
          <w:b/>
          <w:bCs/>
          <w:color w:val="000000"/>
          <w:sz w:val="24"/>
          <w:szCs w:val="24"/>
          <w:rtl/>
        </w:rPr>
        <w:t xml:space="preserve"> הרבנים יגידו לך שהספרים האלה אינם ראויים לנשים, שלא עברו בקורות חייהם אירועים מסוימים שמשתקפים באחד משני הספרים הללו, היית מצייתת להם?</w:t>
      </w:r>
    </w:p>
    <w:p w:rsidR="001D708C" w:rsidRDefault="001D708C" w:rsidP="001D708C">
      <w:pPr>
        <w:pStyle w:val="ad"/>
        <w:spacing w:line="360" w:lineRule="auto"/>
        <w:ind w:left="3513" w:hanging="1797"/>
        <w:jc w:val="both"/>
        <w:rPr>
          <w:rFonts w:ascii="David" w:hAnsi="David" w:cs="David"/>
          <w:b/>
          <w:bCs/>
          <w:color w:val="000000"/>
          <w:sz w:val="24"/>
          <w:szCs w:val="24"/>
          <w:rtl/>
        </w:rPr>
      </w:pPr>
      <w:r>
        <w:rPr>
          <w:rFonts w:ascii="David" w:hAnsi="David" w:cs="David"/>
          <w:b/>
          <w:bCs/>
          <w:color w:val="000000"/>
          <w:sz w:val="24"/>
          <w:szCs w:val="24"/>
          <w:rtl/>
        </w:rPr>
        <w:t>...</w:t>
      </w:r>
    </w:p>
    <w:p w:rsidR="001D708C" w:rsidRDefault="001D708C" w:rsidP="001D708C">
      <w:pPr>
        <w:pStyle w:val="ad"/>
        <w:spacing w:line="360" w:lineRule="auto"/>
        <w:ind w:left="3513" w:hanging="1797"/>
        <w:jc w:val="both"/>
        <w:rPr>
          <w:rFonts w:ascii="David" w:hAnsi="David" w:cs="David"/>
          <w:b/>
          <w:bCs/>
          <w:color w:val="000000"/>
          <w:sz w:val="24"/>
          <w:szCs w:val="24"/>
          <w:rtl/>
        </w:rPr>
      </w:pPr>
      <w:r>
        <w:rPr>
          <w:rFonts w:ascii="David" w:hAnsi="David" w:cs="David"/>
          <w:b/>
          <w:bCs/>
          <w:color w:val="000000"/>
          <w:sz w:val="24"/>
          <w:szCs w:val="24"/>
          <w:rtl/>
        </w:rPr>
        <w:t xml:space="preserve">העדה, גב' ברס: </w:t>
      </w:r>
      <w:r>
        <w:rPr>
          <w:rFonts w:ascii="David" w:hAnsi="David" w:cs="David"/>
          <w:b/>
          <w:bCs/>
          <w:color w:val="000000"/>
          <w:sz w:val="24"/>
          <w:szCs w:val="24"/>
          <w:rtl/>
        </w:rPr>
        <w:tab/>
        <w:t xml:space="preserve">כן, אני בהחלט אשמע להוראות הרבנים, רק שכרגע לא קיבלתי שום מכתב מהרבנים. ובכל מקרה </w:t>
      </w:r>
      <w:r>
        <w:rPr>
          <w:rFonts w:ascii="David" w:hAnsi="David" w:cs="David"/>
          <w:b/>
          <w:bCs/>
          <w:color w:val="000000"/>
          <w:sz w:val="24"/>
          <w:szCs w:val="24"/>
          <w:u w:val="single"/>
          <w:rtl/>
        </w:rPr>
        <w:t>אם רב היה אומר לי, תקשיבי יש בעייתיות עם הספרים האלה, יש לי כתובת למי לפנות, יש לי עם מי לדבר, יש לי עם מי לדון</w:t>
      </w:r>
      <w:r>
        <w:rPr>
          <w:rFonts w:ascii="David" w:hAnsi="David" w:cs="David"/>
          <w:b/>
          <w:bCs/>
          <w:color w:val="000000"/>
          <w:sz w:val="24"/>
          <w:szCs w:val="24"/>
          <w:rtl/>
        </w:rPr>
        <w:t>. כי בסופו של יום זה לא בשר בחלב, זה עניין של השקפה של תפיסת חיים שמבוססת על הפרקטיקה בשטח.</w:t>
      </w:r>
    </w:p>
    <w:p w:rsidR="001D708C" w:rsidRDefault="001D708C" w:rsidP="001D708C">
      <w:pPr>
        <w:pStyle w:val="ad"/>
        <w:spacing w:line="360" w:lineRule="auto"/>
        <w:ind w:left="755"/>
        <w:jc w:val="both"/>
        <w:rPr>
          <w:rFonts w:ascii="David" w:hAnsi="David" w:cs="David"/>
          <w:color w:val="000000"/>
          <w:sz w:val="24"/>
          <w:szCs w:val="24"/>
        </w:rPr>
      </w:pPr>
    </w:p>
    <w:p w:rsidR="001D708C" w:rsidRDefault="001D708C" w:rsidP="001D708C">
      <w:pPr>
        <w:pStyle w:val="ad"/>
        <w:spacing w:line="360" w:lineRule="auto"/>
        <w:ind w:left="755"/>
        <w:jc w:val="both"/>
        <w:rPr>
          <w:rFonts w:ascii="David" w:hAnsi="David" w:cs="David"/>
          <w:color w:val="000000"/>
          <w:sz w:val="24"/>
          <w:szCs w:val="24"/>
        </w:rPr>
      </w:pPr>
      <w:r>
        <w:rPr>
          <w:rFonts w:ascii="David" w:hAnsi="David" w:cs="David"/>
          <w:color w:val="000000"/>
          <w:sz w:val="24"/>
          <w:szCs w:val="24"/>
          <w:rtl/>
        </w:rPr>
        <w:t xml:space="preserve">ואכן במקרה כאן, </w:t>
      </w:r>
      <w:r>
        <w:rPr>
          <w:rFonts w:ascii="David" w:hAnsi="David" w:cs="David"/>
          <w:color w:val="000000"/>
          <w:sz w:val="24"/>
          <w:szCs w:val="24"/>
          <w:u w:val="single"/>
          <w:rtl/>
        </w:rPr>
        <w:t>לא</w:t>
      </w:r>
      <w:r>
        <w:rPr>
          <w:rFonts w:ascii="David" w:hAnsi="David" w:cs="David"/>
          <w:color w:val="000000"/>
          <w:sz w:val="24"/>
          <w:szCs w:val="24"/>
          <w:rtl/>
        </w:rPr>
        <w:t xml:space="preserve"> היתה לתובע</w:t>
      </w:r>
      <w:r w:rsidR="00EA581A">
        <w:rPr>
          <w:rFonts w:ascii="David" w:hAnsi="David" w:cs="David" w:hint="cs"/>
          <w:color w:val="000000"/>
          <w:sz w:val="24"/>
          <w:szCs w:val="24"/>
          <w:rtl/>
        </w:rPr>
        <w:t>ת</w:t>
      </w:r>
      <w:r>
        <w:rPr>
          <w:rFonts w:ascii="David" w:hAnsi="David" w:cs="David"/>
          <w:color w:val="000000"/>
          <w:sz w:val="24"/>
          <w:szCs w:val="24"/>
          <w:rtl/>
        </w:rPr>
        <w:t xml:space="preserve"> "כתובת למי לפנות"; </w:t>
      </w:r>
      <w:r>
        <w:rPr>
          <w:rFonts w:ascii="David" w:hAnsi="David" w:cs="David"/>
          <w:color w:val="000000"/>
          <w:sz w:val="24"/>
          <w:szCs w:val="24"/>
          <w:u w:val="single"/>
          <w:rtl/>
        </w:rPr>
        <w:t>לא</w:t>
      </w:r>
      <w:r>
        <w:rPr>
          <w:rFonts w:ascii="David" w:hAnsi="David" w:cs="David"/>
          <w:color w:val="000000"/>
          <w:sz w:val="24"/>
          <w:szCs w:val="24"/>
          <w:rtl/>
        </w:rPr>
        <w:t xml:space="preserve"> היה לתובע</w:t>
      </w:r>
      <w:r w:rsidR="00EA581A">
        <w:rPr>
          <w:rFonts w:ascii="David" w:hAnsi="David" w:cs="David" w:hint="cs"/>
          <w:color w:val="000000"/>
          <w:sz w:val="24"/>
          <w:szCs w:val="24"/>
          <w:rtl/>
        </w:rPr>
        <w:t>ת</w:t>
      </w:r>
      <w:r>
        <w:rPr>
          <w:rFonts w:ascii="David" w:hAnsi="David" w:cs="David"/>
          <w:color w:val="000000"/>
          <w:sz w:val="24"/>
          <w:szCs w:val="24"/>
          <w:rtl/>
        </w:rPr>
        <w:t xml:space="preserve"> "עם מי לדבר"; </w:t>
      </w:r>
      <w:r>
        <w:rPr>
          <w:rFonts w:ascii="David" w:hAnsi="David" w:cs="David"/>
          <w:color w:val="000000"/>
          <w:sz w:val="24"/>
          <w:szCs w:val="24"/>
          <w:u w:val="single"/>
          <w:rtl/>
        </w:rPr>
        <w:t>לא</w:t>
      </w:r>
      <w:r>
        <w:rPr>
          <w:rFonts w:ascii="David" w:hAnsi="David" w:cs="David"/>
          <w:color w:val="000000"/>
          <w:sz w:val="24"/>
          <w:szCs w:val="24"/>
          <w:rtl/>
        </w:rPr>
        <w:t xml:space="preserve"> היה עם מי לדון. וגם כאשר פנתה התובעת, פעם אחר פעם וגם באמצעות בא כוחה הקודם, וביקשה לקבל רשימת קריטריונים – הרי זכתה להתעלמות מזלזלת, למעט תשובה ראשונה המתייחסת לזכות השאלת הספרים בהתאם להחלטת הנהלת הספריה. תשובה קצרה אשר מרמזת לתובעת שעליה לשנות את מעמדה האישי וכלשון ההודעה -  </w:t>
      </w:r>
      <w:r>
        <w:rPr>
          <w:rFonts w:ascii="David" w:hAnsi="David" w:cs="David"/>
          <w:b/>
          <w:bCs/>
          <w:color w:val="000000"/>
          <w:sz w:val="24"/>
          <w:szCs w:val="24"/>
          <w:rtl/>
        </w:rPr>
        <w:t>"תלוי מצב... בהצלחה"</w:t>
      </w:r>
      <w:r>
        <w:rPr>
          <w:rFonts w:ascii="David" w:hAnsi="David" w:cs="David"/>
          <w:color w:val="000000"/>
          <w:sz w:val="24"/>
          <w:szCs w:val="24"/>
          <w:rtl/>
        </w:rPr>
        <w:t xml:space="preserve"> (ר' סעיף 5.4(ב) לעיל)</w:t>
      </w:r>
      <w:r w:rsidR="0023596E">
        <w:rPr>
          <w:rFonts w:ascii="David" w:hAnsi="David" w:cs="David" w:hint="cs"/>
          <w:color w:val="000000"/>
          <w:sz w:val="24"/>
          <w:szCs w:val="24"/>
          <w:rtl/>
        </w:rPr>
        <w:t>.</w:t>
      </w:r>
    </w:p>
    <w:p w:rsidR="001D708C" w:rsidRDefault="001D708C" w:rsidP="001D708C">
      <w:pPr>
        <w:pStyle w:val="ad"/>
        <w:spacing w:line="360" w:lineRule="auto"/>
        <w:ind w:left="755"/>
        <w:jc w:val="both"/>
        <w:rPr>
          <w:rFonts w:ascii="David" w:hAnsi="David" w:cs="David"/>
          <w:color w:val="000000"/>
          <w:sz w:val="24"/>
          <w:szCs w:val="24"/>
          <w:rtl/>
        </w:rPr>
      </w:pPr>
    </w:p>
    <w:p w:rsidR="001D708C" w:rsidRDefault="001D708C" w:rsidP="00EA581A">
      <w:pPr>
        <w:pStyle w:val="ad"/>
        <w:numPr>
          <w:ilvl w:val="0"/>
          <w:numId w:val="10"/>
        </w:numPr>
        <w:spacing w:line="360" w:lineRule="auto"/>
        <w:jc w:val="both"/>
        <w:rPr>
          <w:rFonts w:ascii="David" w:hAnsi="David" w:cs="David"/>
          <w:color w:val="000000"/>
          <w:sz w:val="24"/>
          <w:szCs w:val="24"/>
        </w:rPr>
      </w:pPr>
      <w:r>
        <w:rPr>
          <w:rFonts w:ascii="David" w:hAnsi="David" w:cs="David"/>
          <w:color w:val="000000"/>
          <w:sz w:val="24"/>
          <w:szCs w:val="24"/>
          <w:rtl/>
        </w:rPr>
        <w:t xml:space="preserve">בעניינינו, הנתבעת הופנתה כבר בדיון קדם המשפט לחשיבות הצגת הקריטריונים ופירוט שיקול הדעת שהביא אותה לפעול כפי שפעלה. וכך, כאשר התבקשה הנתבעת, באמצעות בא כוחה, להסביר את הקשר בין נישואים לבין השאלת ספרים, ניתנה התשובה הבאה (ע"מ 2 לתמלול הפרוטוקול המוקלט, שו' 24-34, ההדגשות לא במקור):  </w:t>
      </w:r>
    </w:p>
    <w:p w:rsidR="001D708C" w:rsidRDefault="001D708C" w:rsidP="001D708C">
      <w:pPr>
        <w:pStyle w:val="ad"/>
        <w:spacing w:line="360" w:lineRule="auto"/>
        <w:ind w:left="3513" w:hanging="1797"/>
        <w:jc w:val="both"/>
        <w:rPr>
          <w:rFonts w:ascii="Arial" w:hAnsi="Arial" w:cs="David"/>
          <w:color w:val="000000"/>
          <w:sz w:val="24"/>
          <w:szCs w:val="24"/>
        </w:rPr>
      </w:pPr>
      <w:r>
        <w:rPr>
          <w:rFonts w:ascii="Arial" w:hAnsi="Arial" w:cs="David"/>
          <w:b/>
          <w:bCs/>
          <w:color w:val="000000"/>
          <w:sz w:val="24"/>
          <w:szCs w:val="24"/>
          <w:rtl/>
        </w:rPr>
        <w:t>כב' הש' ברקאי:</w:t>
      </w:r>
      <w:r>
        <w:rPr>
          <w:rFonts w:ascii="Arial" w:hAnsi="Arial" w:cs="David"/>
          <w:b/>
          <w:bCs/>
          <w:color w:val="000000"/>
          <w:sz w:val="24"/>
          <w:szCs w:val="24"/>
          <w:rtl/>
        </w:rPr>
        <w:tab/>
        <w:t>זאת אומרת, שאם התובעת תתחתן, היא תוכל להבין את הספר המורכב?</w:t>
      </w:r>
    </w:p>
    <w:p w:rsidR="001D708C" w:rsidRDefault="001D708C" w:rsidP="001D708C">
      <w:pPr>
        <w:pStyle w:val="ad"/>
        <w:spacing w:line="360" w:lineRule="auto"/>
        <w:ind w:left="3513" w:hanging="1797"/>
        <w:jc w:val="both"/>
        <w:rPr>
          <w:rFonts w:ascii="Arial" w:hAnsi="Arial" w:cs="David"/>
          <w:b/>
          <w:bCs/>
          <w:color w:val="000000"/>
          <w:sz w:val="24"/>
          <w:szCs w:val="24"/>
        </w:rPr>
      </w:pPr>
      <w:r>
        <w:rPr>
          <w:rFonts w:ascii="Arial" w:hAnsi="Arial" w:cs="David"/>
          <w:b/>
          <w:bCs/>
          <w:color w:val="000000"/>
          <w:sz w:val="24"/>
          <w:szCs w:val="24"/>
          <w:rtl/>
        </w:rPr>
        <w:lastRenderedPageBreak/>
        <w:t>עו"ד ליבוביץ:</w:t>
      </w:r>
      <w:r>
        <w:rPr>
          <w:rFonts w:ascii="Arial" w:hAnsi="Arial" w:cs="David"/>
          <w:b/>
          <w:bCs/>
          <w:color w:val="000000"/>
          <w:sz w:val="24"/>
          <w:szCs w:val="24"/>
          <w:rtl/>
        </w:rPr>
        <w:tab/>
        <w:t xml:space="preserve">וודאי. וודאי. וודאי. אני רק אומר, הדוגמה לא מוצלחת, אבל בשביל לסבר את האוזן. אז </w:t>
      </w:r>
      <w:r>
        <w:rPr>
          <w:rFonts w:ascii="Arial" w:hAnsi="Arial" w:cs="David"/>
          <w:b/>
          <w:bCs/>
          <w:color w:val="000000"/>
          <w:sz w:val="24"/>
          <w:szCs w:val="24"/>
          <w:u w:val="single"/>
          <w:rtl/>
        </w:rPr>
        <w:t>היא תהיה בעלת רישיון נהיגה</w:t>
      </w:r>
      <w:r>
        <w:rPr>
          <w:rFonts w:ascii="Arial" w:hAnsi="Arial" w:cs="David"/>
          <w:b/>
          <w:bCs/>
          <w:color w:val="000000"/>
          <w:sz w:val="24"/>
          <w:szCs w:val="24"/>
          <w:rtl/>
        </w:rPr>
        <w:t xml:space="preserve"> בטריטוריה הזו. שהיא מבחינת התפיסה החרדית וזו ספריה חרדית, ואין חולק עליה, חולק על כך, אין לה רישיון נהיגה עדיין. סליחה, אני לא חלילה, אני מעריך אותך. </w:t>
      </w:r>
    </w:p>
    <w:p w:rsidR="001D708C" w:rsidRDefault="001D708C" w:rsidP="001D708C">
      <w:pPr>
        <w:pStyle w:val="ad"/>
        <w:spacing w:line="360" w:lineRule="auto"/>
        <w:ind w:left="3513" w:hanging="1797"/>
        <w:jc w:val="both"/>
        <w:rPr>
          <w:rFonts w:ascii="Arial" w:hAnsi="Arial" w:cs="David"/>
          <w:b/>
          <w:bCs/>
          <w:color w:val="000000"/>
          <w:sz w:val="24"/>
          <w:szCs w:val="24"/>
          <w:rtl/>
        </w:rPr>
      </w:pPr>
      <w:r>
        <w:rPr>
          <w:rFonts w:ascii="Arial" w:hAnsi="Arial" w:cs="David"/>
          <w:b/>
          <w:bCs/>
          <w:color w:val="000000"/>
          <w:sz w:val="24"/>
          <w:szCs w:val="24"/>
          <w:rtl/>
        </w:rPr>
        <w:t>כב' הש' ברקאי:</w:t>
      </w:r>
      <w:r>
        <w:rPr>
          <w:rFonts w:ascii="Arial" w:hAnsi="Arial" w:cs="David"/>
          <w:b/>
          <w:bCs/>
          <w:color w:val="000000"/>
          <w:sz w:val="24"/>
          <w:szCs w:val="24"/>
          <w:rtl/>
        </w:rPr>
        <w:tab/>
        <w:t xml:space="preserve">הנישואים, זאת אומרת, הקידושים, הקידושים, הנישואים הם אלה שמכשירים אותה. </w:t>
      </w:r>
    </w:p>
    <w:p w:rsidR="001D708C" w:rsidRDefault="001D708C" w:rsidP="001D708C">
      <w:pPr>
        <w:pStyle w:val="ad"/>
        <w:spacing w:line="360" w:lineRule="auto"/>
        <w:ind w:left="3513" w:hanging="1797"/>
        <w:jc w:val="both"/>
        <w:rPr>
          <w:rFonts w:ascii="Arial" w:hAnsi="Arial" w:cs="David"/>
          <w:b/>
          <w:bCs/>
          <w:color w:val="000000"/>
          <w:sz w:val="24"/>
          <w:szCs w:val="24"/>
          <w:rtl/>
        </w:rPr>
      </w:pPr>
      <w:r>
        <w:rPr>
          <w:rFonts w:ascii="Arial" w:hAnsi="Arial" w:cs="David"/>
          <w:b/>
          <w:bCs/>
          <w:color w:val="000000"/>
          <w:sz w:val="24"/>
          <w:szCs w:val="24"/>
          <w:rtl/>
        </w:rPr>
        <w:t>עו"ד ליבוביץ:</w:t>
      </w:r>
      <w:r>
        <w:rPr>
          <w:rFonts w:ascii="Arial" w:hAnsi="Arial" w:cs="David"/>
          <w:b/>
          <w:bCs/>
          <w:color w:val="000000"/>
          <w:sz w:val="24"/>
          <w:szCs w:val="24"/>
          <w:rtl/>
        </w:rPr>
        <w:tab/>
        <w:t xml:space="preserve">(מדברים ביחד). </w:t>
      </w:r>
    </w:p>
    <w:p w:rsidR="001D708C" w:rsidRDefault="001D708C" w:rsidP="001D708C">
      <w:pPr>
        <w:pStyle w:val="ad"/>
        <w:spacing w:line="360" w:lineRule="auto"/>
        <w:ind w:left="3513" w:hanging="1797"/>
        <w:jc w:val="both"/>
        <w:rPr>
          <w:rFonts w:ascii="Arial" w:hAnsi="Arial" w:cs="David"/>
          <w:b/>
          <w:bCs/>
          <w:color w:val="000000"/>
          <w:sz w:val="24"/>
          <w:szCs w:val="24"/>
          <w:rtl/>
        </w:rPr>
      </w:pPr>
      <w:r>
        <w:rPr>
          <w:rFonts w:ascii="Arial" w:hAnsi="Arial" w:cs="David"/>
          <w:b/>
          <w:bCs/>
          <w:color w:val="000000"/>
          <w:sz w:val="24"/>
          <w:szCs w:val="24"/>
          <w:rtl/>
        </w:rPr>
        <w:t>כב' הש' ברקאי:</w:t>
      </w:r>
      <w:r>
        <w:rPr>
          <w:rFonts w:ascii="Arial" w:hAnsi="Arial" w:cs="David"/>
          <w:b/>
          <w:bCs/>
          <w:color w:val="000000"/>
          <w:sz w:val="24"/>
          <w:szCs w:val="24"/>
          <w:rtl/>
        </w:rPr>
        <w:tab/>
        <w:t>מישהי שמתחתנת וחלילה מתאלמנת, יכולה לקרוא את זה אחר כך?</w:t>
      </w:r>
    </w:p>
    <w:p w:rsidR="001D708C" w:rsidRDefault="001D708C" w:rsidP="001D708C">
      <w:pPr>
        <w:pStyle w:val="ad"/>
        <w:spacing w:line="360" w:lineRule="auto"/>
        <w:ind w:left="3513" w:hanging="1797"/>
        <w:jc w:val="both"/>
        <w:rPr>
          <w:rFonts w:ascii="Arial" w:hAnsi="Arial" w:cs="David"/>
          <w:b/>
          <w:bCs/>
          <w:color w:val="000000"/>
          <w:sz w:val="24"/>
          <w:szCs w:val="24"/>
          <w:rtl/>
        </w:rPr>
      </w:pPr>
      <w:r>
        <w:rPr>
          <w:rFonts w:ascii="Arial" w:hAnsi="Arial" w:cs="David"/>
          <w:b/>
          <w:bCs/>
          <w:color w:val="000000"/>
          <w:sz w:val="24"/>
          <w:szCs w:val="24"/>
          <w:rtl/>
        </w:rPr>
        <w:t>עו"ד ליבוביץ:</w:t>
      </w:r>
      <w:r>
        <w:rPr>
          <w:rFonts w:ascii="Arial" w:hAnsi="Arial" w:cs="David"/>
          <w:b/>
          <w:bCs/>
          <w:color w:val="000000"/>
          <w:sz w:val="24"/>
          <w:szCs w:val="24"/>
          <w:rtl/>
        </w:rPr>
        <w:tab/>
        <w:t>בוודאי, כי היא עברה, ה</w:t>
      </w:r>
      <w:r>
        <w:rPr>
          <w:rFonts w:ascii="Arial" w:hAnsi="Arial" w:cs="David"/>
          <w:b/>
          <w:bCs/>
          <w:color w:val="000000"/>
          <w:sz w:val="24"/>
          <w:szCs w:val="24"/>
          <w:u w:val="single"/>
          <w:rtl/>
        </w:rPr>
        <w:t>יא קיבלה רישיון נהיגה. לא קיבלה שלילה בהמשך</w:t>
      </w:r>
      <w:r>
        <w:rPr>
          <w:rFonts w:ascii="Arial" w:hAnsi="Arial" w:cs="David"/>
          <w:b/>
          <w:bCs/>
          <w:color w:val="000000"/>
          <w:sz w:val="24"/>
          <w:szCs w:val="24"/>
          <w:rtl/>
        </w:rPr>
        <w:t>. אני רק, כמשל.</w:t>
      </w:r>
    </w:p>
    <w:p w:rsidR="001D708C" w:rsidRDefault="001D708C" w:rsidP="001D708C">
      <w:pPr>
        <w:pStyle w:val="ad"/>
        <w:spacing w:line="360" w:lineRule="auto"/>
        <w:ind w:left="1080"/>
        <w:jc w:val="both"/>
        <w:rPr>
          <w:rFonts w:ascii="David" w:hAnsi="David" w:cs="David"/>
          <w:color w:val="000000"/>
          <w:sz w:val="24"/>
          <w:szCs w:val="24"/>
          <w:rtl/>
        </w:rPr>
      </w:pPr>
    </w:p>
    <w:p w:rsidR="001D708C" w:rsidRDefault="001D708C" w:rsidP="001D708C">
      <w:pPr>
        <w:pStyle w:val="ad"/>
        <w:spacing w:line="360" w:lineRule="auto"/>
        <w:ind w:left="1080"/>
        <w:jc w:val="both"/>
        <w:rPr>
          <w:rFonts w:ascii="David" w:hAnsi="David" w:cs="David"/>
          <w:color w:val="000000"/>
          <w:sz w:val="24"/>
          <w:szCs w:val="24"/>
          <w:rtl/>
        </w:rPr>
      </w:pPr>
      <w:r>
        <w:rPr>
          <w:rFonts w:ascii="David" w:hAnsi="David" w:cs="David"/>
          <w:color w:val="000000"/>
          <w:sz w:val="24"/>
          <w:szCs w:val="24"/>
          <w:rtl/>
        </w:rPr>
        <w:t>ובהמשך היתה התייחסות מפורשת לכללים שלא צורפו לכתב ההגנה, וכך הדבר הופיע בתמלול הפרוטוקול המוקלט (ע"מ 3 שו' 8-11, ההדגשות לא במקור):</w:t>
      </w:r>
    </w:p>
    <w:p w:rsidR="001D708C" w:rsidRDefault="001D708C" w:rsidP="001D708C">
      <w:pPr>
        <w:pStyle w:val="ad"/>
        <w:spacing w:line="360" w:lineRule="auto"/>
        <w:ind w:left="1080"/>
        <w:jc w:val="both"/>
        <w:rPr>
          <w:rFonts w:ascii="David" w:hAnsi="David" w:cs="David"/>
          <w:color w:val="000000"/>
          <w:sz w:val="24"/>
          <w:szCs w:val="24"/>
          <w:rtl/>
        </w:rPr>
      </w:pPr>
    </w:p>
    <w:p w:rsidR="001D708C" w:rsidRDefault="001D708C" w:rsidP="001D708C">
      <w:pPr>
        <w:pStyle w:val="ad"/>
        <w:spacing w:line="360" w:lineRule="auto"/>
        <w:ind w:left="3513" w:hanging="1797"/>
        <w:jc w:val="both"/>
        <w:rPr>
          <w:rFonts w:ascii="Arial" w:hAnsi="Arial" w:cs="David"/>
          <w:color w:val="000000"/>
          <w:sz w:val="24"/>
          <w:szCs w:val="24"/>
          <w:rtl/>
        </w:rPr>
      </w:pPr>
      <w:r>
        <w:rPr>
          <w:rFonts w:ascii="Arial" w:hAnsi="Arial" w:cs="David"/>
          <w:b/>
          <w:bCs/>
          <w:color w:val="000000"/>
          <w:sz w:val="24"/>
          <w:szCs w:val="24"/>
          <w:rtl/>
        </w:rPr>
        <w:t>כב' הש' ברקאי:</w:t>
      </w:r>
      <w:r>
        <w:rPr>
          <w:rFonts w:ascii="Arial" w:hAnsi="Arial" w:cs="David"/>
          <w:b/>
          <w:bCs/>
          <w:color w:val="000000"/>
          <w:sz w:val="24"/>
          <w:szCs w:val="24"/>
          <w:rtl/>
        </w:rPr>
        <w:tab/>
        <w:t xml:space="preserve">איזה עוד ספרים אסור, איזה עוד ספרים, </w:t>
      </w:r>
      <w:r>
        <w:rPr>
          <w:rFonts w:ascii="Arial" w:hAnsi="Arial" w:cs="David"/>
          <w:b/>
          <w:bCs/>
          <w:color w:val="000000"/>
          <w:sz w:val="24"/>
          <w:szCs w:val="24"/>
          <w:u w:val="single"/>
          <w:rtl/>
        </w:rPr>
        <w:t>מה הקריטריונים</w:t>
      </w:r>
      <w:r>
        <w:rPr>
          <w:rFonts w:ascii="Arial" w:hAnsi="Arial" w:cs="David"/>
          <w:b/>
          <w:bCs/>
          <w:color w:val="000000"/>
          <w:sz w:val="24"/>
          <w:szCs w:val="24"/>
          <w:rtl/>
        </w:rPr>
        <w:t>? איזה עוד ספרים היא לא יכולה לקרוא, לשאול סליחה?</w:t>
      </w:r>
    </w:p>
    <w:p w:rsidR="001D708C" w:rsidRDefault="001D708C" w:rsidP="001D708C">
      <w:pPr>
        <w:pStyle w:val="ad"/>
        <w:spacing w:line="360" w:lineRule="auto"/>
        <w:ind w:left="3513" w:hanging="1797"/>
        <w:jc w:val="both"/>
        <w:rPr>
          <w:rFonts w:ascii="Arial" w:hAnsi="Arial" w:cs="David"/>
          <w:b/>
          <w:bCs/>
          <w:color w:val="000000"/>
          <w:sz w:val="24"/>
          <w:szCs w:val="24"/>
        </w:rPr>
      </w:pPr>
      <w:r>
        <w:rPr>
          <w:rFonts w:ascii="Arial" w:hAnsi="Arial" w:cs="David"/>
          <w:b/>
          <w:bCs/>
          <w:color w:val="000000"/>
          <w:sz w:val="24"/>
          <w:szCs w:val="24"/>
          <w:rtl/>
        </w:rPr>
        <w:t>עו"ד ליבוביץ:</w:t>
      </w:r>
      <w:r>
        <w:rPr>
          <w:rFonts w:ascii="Arial" w:hAnsi="Arial" w:cs="David"/>
          <w:b/>
          <w:bCs/>
          <w:color w:val="000000"/>
          <w:sz w:val="24"/>
          <w:szCs w:val="24"/>
          <w:rtl/>
        </w:rPr>
        <w:tab/>
        <w:t xml:space="preserve">אני לא יכול כרגע לומר את הכול. </w:t>
      </w:r>
      <w:r>
        <w:rPr>
          <w:rFonts w:ascii="Arial" w:hAnsi="Arial" w:cs="David"/>
          <w:b/>
          <w:bCs/>
          <w:color w:val="000000"/>
          <w:sz w:val="24"/>
          <w:szCs w:val="24"/>
          <w:u w:val="single"/>
          <w:rtl/>
        </w:rPr>
        <w:t>אם אדוני ירצה, אני אתן את ההנחיות שלנו</w:t>
      </w:r>
      <w:r>
        <w:rPr>
          <w:rFonts w:ascii="Arial" w:hAnsi="Arial" w:cs="David"/>
          <w:b/>
          <w:bCs/>
          <w:color w:val="000000"/>
          <w:sz w:val="24"/>
          <w:szCs w:val="24"/>
          <w:rtl/>
        </w:rPr>
        <w:t>. אני רק אומר, שהנושא הזה, אנחנו לא המצאנו את הגלגל,</w:t>
      </w:r>
    </w:p>
    <w:p w:rsidR="001D708C" w:rsidRDefault="001D708C" w:rsidP="001D708C">
      <w:pPr>
        <w:pStyle w:val="ad"/>
        <w:spacing w:line="360" w:lineRule="auto"/>
        <w:ind w:left="3513" w:hanging="1797"/>
        <w:jc w:val="both"/>
        <w:rPr>
          <w:rFonts w:ascii="Arial" w:hAnsi="Arial" w:cs="David"/>
          <w:b/>
          <w:bCs/>
          <w:color w:val="000000"/>
          <w:sz w:val="24"/>
          <w:szCs w:val="24"/>
          <w:rtl/>
        </w:rPr>
      </w:pPr>
    </w:p>
    <w:p w:rsidR="001D708C" w:rsidRDefault="001D708C" w:rsidP="001D708C">
      <w:pPr>
        <w:pStyle w:val="ad"/>
        <w:spacing w:line="360" w:lineRule="auto"/>
        <w:ind w:left="1080"/>
        <w:jc w:val="both"/>
        <w:rPr>
          <w:rFonts w:ascii="David" w:hAnsi="David" w:cs="David"/>
          <w:color w:val="000000"/>
          <w:sz w:val="24"/>
          <w:szCs w:val="24"/>
          <w:rtl/>
        </w:rPr>
      </w:pPr>
      <w:r>
        <w:rPr>
          <w:rFonts w:ascii="David" w:hAnsi="David" w:cs="David"/>
          <w:color w:val="000000"/>
          <w:sz w:val="24"/>
          <w:szCs w:val="24"/>
          <w:rtl/>
        </w:rPr>
        <w:t>הנתבעת לא ק</w:t>
      </w:r>
      <w:r w:rsidR="00EA581A">
        <w:rPr>
          <w:rFonts w:ascii="David" w:hAnsi="David" w:cs="David"/>
          <w:color w:val="000000"/>
          <w:sz w:val="24"/>
          <w:szCs w:val="24"/>
          <w:rtl/>
        </w:rPr>
        <w:t>יימה התחייבותה להמציא את "ה</w:t>
      </w:r>
      <w:r w:rsidR="00EA581A">
        <w:rPr>
          <w:rFonts w:ascii="David" w:hAnsi="David" w:cs="David" w:hint="cs"/>
          <w:color w:val="000000"/>
          <w:sz w:val="24"/>
          <w:szCs w:val="24"/>
          <w:rtl/>
        </w:rPr>
        <w:t>הנחיות</w:t>
      </w:r>
      <w:r>
        <w:rPr>
          <w:rFonts w:ascii="David" w:hAnsi="David" w:cs="David"/>
          <w:color w:val="000000"/>
          <w:sz w:val="24"/>
          <w:szCs w:val="24"/>
          <w:rtl/>
        </w:rPr>
        <w:t xml:space="preserve"> שלנו". אותם כללים</w:t>
      </w:r>
      <w:r w:rsidR="00EA581A">
        <w:rPr>
          <w:rFonts w:ascii="David" w:hAnsi="David" w:cs="David" w:hint="cs"/>
          <w:color w:val="000000"/>
          <w:sz w:val="24"/>
          <w:szCs w:val="24"/>
          <w:rtl/>
        </w:rPr>
        <w:t xml:space="preserve"> והנחיות </w:t>
      </w:r>
      <w:r>
        <w:rPr>
          <w:rFonts w:ascii="David" w:hAnsi="David" w:cs="David"/>
          <w:color w:val="000000"/>
          <w:sz w:val="24"/>
          <w:szCs w:val="24"/>
          <w:rtl/>
        </w:rPr>
        <w:t xml:space="preserve"> שמכוחם הובחנה והובדלה התובעת מהציבור. על כך בפסקה הבאה.</w:t>
      </w:r>
    </w:p>
    <w:p w:rsidR="001D708C" w:rsidRDefault="001D708C" w:rsidP="001D708C">
      <w:pPr>
        <w:pStyle w:val="ad"/>
        <w:spacing w:line="360" w:lineRule="auto"/>
        <w:ind w:left="1080"/>
        <w:jc w:val="both"/>
        <w:rPr>
          <w:rFonts w:ascii="David" w:hAnsi="David" w:cs="David"/>
          <w:color w:val="000000"/>
          <w:sz w:val="24"/>
          <w:szCs w:val="24"/>
          <w:rtl/>
        </w:rPr>
      </w:pPr>
      <w:r>
        <w:rPr>
          <w:rFonts w:ascii="David" w:hAnsi="David" w:cs="David"/>
          <w:color w:val="000000"/>
          <w:sz w:val="24"/>
          <w:szCs w:val="24"/>
          <w:rtl/>
        </w:rPr>
        <w:t xml:space="preserve"> </w:t>
      </w:r>
    </w:p>
    <w:p w:rsidR="001D708C" w:rsidRDefault="001D708C" w:rsidP="001D708C">
      <w:pPr>
        <w:pStyle w:val="ad"/>
        <w:numPr>
          <w:ilvl w:val="1"/>
          <w:numId w:val="1"/>
        </w:numPr>
        <w:spacing w:line="360" w:lineRule="auto"/>
        <w:ind w:left="395" w:hanging="567"/>
        <w:jc w:val="both"/>
        <w:rPr>
          <w:rFonts w:ascii="David" w:hAnsi="David" w:cs="David"/>
          <w:color w:val="000000"/>
          <w:sz w:val="24"/>
          <w:szCs w:val="24"/>
          <w:rtl/>
        </w:rPr>
      </w:pPr>
      <w:r>
        <w:rPr>
          <w:rFonts w:ascii="David" w:hAnsi="David" w:cs="David"/>
          <w:b/>
          <w:bCs/>
          <w:color w:val="000000"/>
          <w:sz w:val="24"/>
          <w:szCs w:val="24"/>
          <w:u w:val="single"/>
          <w:rtl/>
        </w:rPr>
        <w:t>לנתבעת אין כללים, אין בדיקה מוסדרת ומובנית של ספרים, הפגיעה בזכויות התובעת נעש</w:t>
      </w:r>
      <w:r w:rsidR="0023596E">
        <w:rPr>
          <w:rFonts w:ascii="David" w:hAnsi="David" w:cs="David" w:hint="cs"/>
          <w:b/>
          <w:bCs/>
          <w:color w:val="000000"/>
          <w:sz w:val="24"/>
          <w:szCs w:val="24"/>
          <w:u w:val="single"/>
          <w:rtl/>
        </w:rPr>
        <w:t>ת</w:t>
      </w:r>
      <w:r>
        <w:rPr>
          <w:rFonts w:ascii="David" w:hAnsi="David" w:cs="David"/>
          <w:b/>
          <w:bCs/>
          <w:color w:val="000000"/>
          <w:sz w:val="24"/>
          <w:szCs w:val="24"/>
          <w:u w:val="single"/>
          <w:rtl/>
        </w:rPr>
        <w:t>ה ללא כל שיקול דעת שהוצג</w:t>
      </w:r>
    </w:p>
    <w:p w:rsidR="001D708C" w:rsidRDefault="001D708C" w:rsidP="001D708C">
      <w:pPr>
        <w:pStyle w:val="ad"/>
        <w:numPr>
          <w:ilvl w:val="0"/>
          <w:numId w:val="11"/>
        </w:numPr>
        <w:spacing w:line="360" w:lineRule="auto"/>
        <w:jc w:val="both"/>
        <w:rPr>
          <w:rFonts w:ascii="David" w:hAnsi="David" w:cs="David"/>
          <w:color w:val="000000"/>
          <w:sz w:val="24"/>
          <w:szCs w:val="24"/>
        </w:rPr>
      </w:pPr>
      <w:r>
        <w:rPr>
          <w:rFonts w:ascii="David" w:hAnsi="David" w:cs="David"/>
          <w:color w:val="000000"/>
          <w:sz w:val="24"/>
          <w:szCs w:val="24"/>
          <w:rtl/>
        </w:rPr>
        <w:t>כאשר הגיע שלב תצהירי העדות הראשית והחקירות הנגדיות, התברר שאין לנתבעת דבר. אין לנתבעת כללים; אין לנתבעת מערך בדיקה של ספרים בטרם הוגלו אלה לארון הספרים האסורים; לא הוצג שום רישום וידיעה באשר לאותם ספרים אסורים אשר מצאו דרכם לספריה העירונית אך חלילה מלהשאילם לכל ציבור הקוראים; בוודאי אין פרוטוקול בדיקה של בעלי מקצוע, או אפילו הדיוטות, אשר הפעילו שיקול דעת בטרם ההבחנה וההבדלה של התובעת ודומותיה מכלל הציבור.</w:t>
      </w:r>
    </w:p>
    <w:p w:rsidR="001D708C" w:rsidRDefault="001D708C" w:rsidP="001D708C">
      <w:pPr>
        <w:pStyle w:val="ad"/>
        <w:spacing w:line="360" w:lineRule="auto"/>
        <w:ind w:left="755"/>
        <w:jc w:val="both"/>
        <w:rPr>
          <w:rFonts w:ascii="David" w:hAnsi="David" w:cs="David"/>
          <w:color w:val="000000"/>
          <w:sz w:val="24"/>
          <w:szCs w:val="24"/>
        </w:rPr>
      </w:pPr>
    </w:p>
    <w:p w:rsidR="001D708C" w:rsidRDefault="001D708C" w:rsidP="0023596E">
      <w:pPr>
        <w:pStyle w:val="ad"/>
        <w:numPr>
          <w:ilvl w:val="0"/>
          <w:numId w:val="11"/>
        </w:numPr>
        <w:spacing w:line="360" w:lineRule="auto"/>
        <w:jc w:val="both"/>
        <w:rPr>
          <w:rFonts w:ascii="David" w:hAnsi="David" w:cs="David"/>
          <w:color w:val="000000"/>
          <w:sz w:val="24"/>
          <w:szCs w:val="24"/>
        </w:rPr>
      </w:pPr>
      <w:r>
        <w:rPr>
          <w:rFonts w:ascii="David" w:hAnsi="David" w:cs="David"/>
          <w:color w:val="000000"/>
          <w:sz w:val="24"/>
          <w:szCs w:val="24"/>
          <w:rtl/>
        </w:rPr>
        <w:t>הנתבעת הגיש</w:t>
      </w:r>
      <w:r w:rsidR="0023596E">
        <w:rPr>
          <w:rFonts w:ascii="David" w:hAnsi="David" w:cs="David" w:hint="cs"/>
          <w:color w:val="000000"/>
          <w:sz w:val="24"/>
          <w:szCs w:val="24"/>
          <w:rtl/>
        </w:rPr>
        <w:t>ה</w:t>
      </w:r>
      <w:r>
        <w:rPr>
          <w:rFonts w:ascii="David" w:hAnsi="David" w:cs="David"/>
          <w:color w:val="000000"/>
          <w:sz w:val="24"/>
          <w:szCs w:val="24"/>
          <w:rtl/>
        </w:rPr>
        <w:t xml:space="preserve"> תצהיר קצר בן 15 סעיפים גורפים של מר יעקב רוזן</w:t>
      </w:r>
      <w:r w:rsidR="0023596E">
        <w:rPr>
          <w:rFonts w:ascii="David" w:hAnsi="David" w:cs="David" w:hint="cs"/>
          <w:color w:val="000000"/>
          <w:sz w:val="24"/>
          <w:szCs w:val="24"/>
          <w:rtl/>
        </w:rPr>
        <w:t>,</w:t>
      </w:r>
      <w:r>
        <w:rPr>
          <w:rFonts w:ascii="David" w:hAnsi="David" w:cs="David"/>
          <w:color w:val="000000"/>
          <w:sz w:val="24"/>
          <w:szCs w:val="24"/>
          <w:rtl/>
        </w:rPr>
        <w:t xml:space="preserve"> מנהל אגף תרבות בעיריית בני ברק. התצהיר הקצר חף מנספחים וממילא לא צורפו אליו הספרים האסורים, לא צורפה </w:t>
      </w:r>
      <w:r>
        <w:rPr>
          <w:rFonts w:ascii="David" w:hAnsi="David" w:cs="David"/>
          <w:color w:val="000000"/>
          <w:sz w:val="24"/>
          <w:szCs w:val="24"/>
          <w:rtl/>
        </w:rPr>
        <w:lastRenderedPageBreak/>
        <w:t>רשימת הכללים לפיהם החליט מי שהחליט על הדרת התובעת מקריאת ספרים מסוימים. במיוחד – לא צורף פרוטוקול מסודר או מערך בדיקה שלפיו הוחלט, על ידי מאן דהוא, לפגוע בזכויות התובעת ודומותיה ולאסור על קריאת ספרים מסוימים.</w:t>
      </w:r>
    </w:p>
    <w:p w:rsidR="001D708C" w:rsidRDefault="001D708C" w:rsidP="001D708C">
      <w:pPr>
        <w:pStyle w:val="ad"/>
        <w:rPr>
          <w:rFonts w:ascii="David" w:hAnsi="David" w:cs="David"/>
          <w:color w:val="000000"/>
          <w:sz w:val="24"/>
          <w:szCs w:val="24"/>
        </w:rPr>
      </w:pPr>
    </w:p>
    <w:p w:rsidR="001D708C" w:rsidRDefault="001D708C" w:rsidP="0023596E">
      <w:pPr>
        <w:pStyle w:val="ad"/>
        <w:numPr>
          <w:ilvl w:val="0"/>
          <w:numId w:val="11"/>
        </w:numPr>
        <w:spacing w:line="360" w:lineRule="auto"/>
        <w:jc w:val="both"/>
        <w:rPr>
          <w:rFonts w:ascii="David" w:hAnsi="David" w:cs="David"/>
          <w:color w:val="000000"/>
          <w:sz w:val="24"/>
          <w:szCs w:val="24"/>
          <w:rtl/>
        </w:rPr>
      </w:pPr>
      <w:r>
        <w:rPr>
          <w:rFonts w:ascii="David" w:hAnsi="David" w:cs="David"/>
          <w:color w:val="000000"/>
          <w:sz w:val="24"/>
          <w:szCs w:val="24"/>
          <w:rtl/>
        </w:rPr>
        <w:t>נציג הנתבעת</w:t>
      </w:r>
      <w:r w:rsidR="00104E77">
        <w:rPr>
          <w:rFonts w:ascii="David" w:hAnsi="David" w:cs="David" w:hint="cs"/>
          <w:color w:val="000000"/>
          <w:sz w:val="24"/>
          <w:szCs w:val="24"/>
          <w:rtl/>
        </w:rPr>
        <w:t xml:space="preserve"> טען בחקירתו הנגדית, מבלי שהכיר את הספרים </w:t>
      </w:r>
      <w:r>
        <w:rPr>
          <w:rFonts w:ascii="David" w:hAnsi="David" w:cs="David"/>
          <w:b/>
          <w:bCs/>
          <w:color w:val="000000"/>
          <w:sz w:val="24"/>
          <w:szCs w:val="24"/>
          <w:rtl/>
        </w:rPr>
        <w:t>"שיש לנו נוהל בספרייה שיש ספרים שלא מתאימים לכולם"</w:t>
      </w:r>
      <w:r>
        <w:rPr>
          <w:rFonts w:ascii="David" w:hAnsi="David" w:cs="David"/>
          <w:color w:val="000000"/>
          <w:sz w:val="24"/>
          <w:szCs w:val="24"/>
          <w:rtl/>
        </w:rPr>
        <w:t xml:space="preserve">. בהמשך נשאל והודה נציג הנתבעת </w:t>
      </w:r>
      <w:r w:rsidRPr="00104E77">
        <w:rPr>
          <w:rFonts w:ascii="David" w:hAnsi="David" w:cs="David"/>
          <w:color w:val="000000"/>
          <w:sz w:val="24"/>
          <w:szCs w:val="24"/>
          <w:u w:val="single"/>
          <w:rtl/>
        </w:rPr>
        <w:t xml:space="preserve">שבניגוד </w:t>
      </w:r>
      <w:r>
        <w:rPr>
          <w:rFonts w:ascii="David" w:hAnsi="David" w:cs="David"/>
          <w:color w:val="000000"/>
          <w:sz w:val="24"/>
          <w:szCs w:val="24"/>
          <w:rtl/>
        </w:rPr>
        <w:t xml:space="preserve">לדבריו הרי הוא בכלל </w:t>
      </w:r>
      <w:r>
        <w:rPr>
          <w:rFonts w:ascii="David" w:hAnsi="David" w:cs="David"/>
          <w:b/>
          <w:bCs/>
          <w:color w:val="000000"/>
          <w:sz w:val="24"/>
          <w:szCs w:val="24"/>
          <w:rtl/>
        </w:rPr>
        <w:t>"לא יודע אם יש איזשהו גם נוהל"</w:t>
      </w:r>
      <w:r>
        <w:rPr>
          <w:rFonts w:ascii="David" w:hAnsi="David" w:cs="David"/>
          <w:color w:val="000000"/>
          <w:sz w:val="24"/>
          <w:szCs w:val="24"/>
          <w:rtl/>
        </w:rPr>
        <w:t xml:space="preserve"> וכלשונו</w:t>
      </w:r>
      <w:r w:rsidR="0023596E">
        <w:rPr>
          <w:rFonts w:ascii="David" w:hAnsi="David" w:cs="David" w:hint="cs"/>
          <w:color w:val="000000"/>
          <w:sz w:val="24"/>
          <w:szCs w:val="24"/>
          <w:rtl/>
        </w:rPr>
        <w:t xml:space="preserve"> </w:t>
      </w:r>
      <w:r w:rsidR="0023596E">
        <w:rPr>
          <w:rFonts w:ascii="David" w:hAnsi="David" w:cs="David"/>
          <w:color w:val="000000"/>
          <w:sz w:val="24"/>
          <w:szCs w:val="24"/>
          <w:rtl/>
        </w:rPr>
        <w:t>(ע"מ 20-21 לפר</w:t>
      </w:r>
      <w:r w:rsidR="0023596E">
        <w:rPr>
          <w:rFonts w:ascii="David" w:hAnsi="David" w:cs="David" w:hint="cs"/>
          <w:color w:val="000000"/>
          <w:sz w:val="24"/>
          <w:szCs w:val="24"/>
          <w:rtl/>
        </w:rPr>
        <w:t>'</w:t>
      </w:r>
      <w:r w:rsidR="0023596E">
        <w:rPr>
          <w:rFonts w:ascii="David" w:hAnsi="David" w:cs="David"/>
          <w:color w:val="000000"/>
          <w:sz w:val="24"/>
          <w:szCs w:val="24"/>
          <w:rtl/>
        </w:rPr>
        <w:t>, ההדגשות לא במקור)</w:t>
      </w:r>
      <w:r>
        <w:rPr>
          <w:rFonts w:ascii="David" w:hAnsi="David" w:cs="David"/>
          <w:color w:val="000000"/>
          <w:sz w:val="24"/>
          <w:szCs w:val="24"/>
          <w:rtl/>
        </w:rPr>
        <w:t>:</w:t>
      </w:r>
    </w:p>
    <w:p w:rsidR="001D708C" w:rsidRDefault="001D708C" w:rsidP="001D708C">
      <w:pPr>
        <w:pStyle w:val="ad"/>
        <w:rPr>
          <w:rFonts w:ascii="David" w:hAnsi="David" w:cs="David"/>
          <w:color w:val="000000"/>
          <w:sz w:val="24"/>
          <w:szCs w:val="24"/>
        </w:rPr>
      </w:pPr>
    </w:p>
    <w:p w:rsidR="001D708C" w:rsidRDefault="001D708C" w:rsidP="001D708C">
      <w:pPr>
        <w:pStyle w:val="ad"/>
        <w:spacing w:line="360" w:lineRule="auto"/>
        <w:ind w:left="3513" w:hanging="1797"/>
        <w:jc w:val="both"/>
        <w:rPr>
          <w:rFonts w:ascii="David" w:hAnsi="David" w:cs="David"/>
          <w:b/>
          <w:bCs/>
          <w:color w:val="000000"/>
          <w:sz w:val="24"/>
          <w:szCs w:val="24"/>
          <w:rtl/>
        </w:rPr>
      </w:pPr>
      <w:r>
        <w:rPr>
          <w:rFonts w:ascii="David" w:hAnsi="David" w:cs="David"/>
          <w:b/>
          <w:bCs/>
          <w:color w:val="000000"/>
          <w:sz w:val="24"/>
          <w:szCs w:val="24"/>
          <w:rtl/>
        </w:rPr>
        <w:t xml:space="preserve">עו"ד סייף: </w:t>
      </w:r>
      <w:r>
        <w:rPr>
          <w:rFonts w:ascii="David" w:hAnsi="David" w:cs="David"/>
          <w:b/>
          <w:bCs/>
          <w:color w:val="000000"/>
          <w:sz w:val="24"/>
          <w:szCs w:val="24"/>
          <w:rtl/>
        </w:rPr>
        <w:tab/>
        <w:t>זה נוהל שאתה כתבת?</w:t>
      </w:r>
    </w:p>
    <w:p w:rsidR="001D708C" w:rsidRDefault="001D708C" w:rsidP="001D708C">
      <w:pPr>
        <w:pStyle w:val="ad"/>
        <w:spacing w:line="360" w:lineRule="auto"/>
        <w:ind w:left="3513" w:hanging="1797"/>
        <w:jc w:val="both"/>
        <w:rPr>
          <w:rFonts w:ascii="David" w:hAnsi="David" w:cs="David"/>
          <w:b/>
          <w:bCs/>
          <w:color w:val="000000"/>
          <w:sz w:val="24"/>
          <w:szCs w:val="24"/>
          <w:rtl/>
        </w:rPr>
      </w:pPr>
      <w:r>
        <w:rPr>
          <w:rFonts w:ascii="David" w:hAnsi="David" w:cs="David"/>
          <w:b/>
          <w:bCs/>
          <w:color w:val="000000"/>
          <w:sz w:val="24"/>
          <w:szCs w:val="24"/>
          <w:rtl/>
        </w:rPr>
        <w:t xml:space="preserve">העד, מר רוזן: </w:t>
      </w:r>
      <w:r>
        <w:rPr>
          <w:rFonts w:ascii="David" w:hAnsi="David" w:cs="David"/>
          <w:b/>
          <w:bCs/>
          <w:color w:val="000000"/>
          <w:sz w:val="24"/>
          <w:szCs w:val="24"/>
          <w:rtl/>
        </w:rPr>
        <w:tab/>
        <w:t>לא, זה נוהל שאנחנו התייעצנו עם הרבנים וזה הנוהל.</w:t>
      </w:r>
    </w:p>
    <w:p w:rsidR="001D708C" w:rsidRDefault="001D708C" w:rsidP="001D708C">
      <w:pPr>
        <w:pStyle w:val="ad"/>
        <w:spacing w:line="360" w:lineRule="auto"/>
        <w:ind w:left="3513" w:hanging="1797"/>
        <w:jc w:val="both"/>
        <w:rPr>
          <w:rFonts w:ascii="David" w:hAnsi="David" w:cs="David"/>
          <w:b/>
          <w:bCs/>
          <w:color w:val="000000"/>
          <w:sz w:val="24"/>
          <w:szCs w:val="24"/>
          <w:rtl/>
        </w:rPr>
      </w:pPr>
      <w:r>
        <w:rPr>
          <w:rFonts w:ascii="David" w:hAnsi="David" w:cs="David"/>
          <w:b/>
          <w:bCs/>
          <w:color w:val="000000"/>
          <w:sz w:val="24"/>
          <w:szCs w:val="24"/>
          <w:rtl/>
        </w:rPr>
        <w:t xml:space="preserve">עו"ד סייף: </w:t>
      </w:r>
      <w:r>
        <w:rPr>
          <w:rFonts w:ascii="David" w:hAnsi="David" w:cs="David"/>
          <w:b/>
          <w:bCs/>
          <w:color w:val="000000"/>
          <w:sz w:val="24"/>
          <w:szCs w:val="24"/>
          <w:rtl/>
        </w:rPr>
        <w:tab/>
        <w:t>איפה הוא כתוב? איפה אני יכולה למצוא אותו הנוהל הזה?</w:t>
      </w:r>
    </w:p>
    <w:p w:rsidR="001D708C" w:rsidRDefault="001D708C" w:rsidP="001D708C">
      <w:pPr>
        <w:pStyle w:val="ad"/>
        <w:spacing w:line="360" w:lineRule="auto"/>
        <w:ind w:left="3513" w:hanging="1797"/>
        <w:jc w:val="both"/>
        <w:rPr>
          <w:rFonts w:ascii="David" w:hAnsi="David" w:cs="David"/>
          <w:b/>
          <w:bCs/>
          <w:color w:val="000000"/>
          <w:sz w:val="24"/>
          <w:szCs w:val="24"/>
          <w:rtl/>
        </w:rPr>
      </w:pPr>
      <w:r>
        <w:rPr>
          <w:rFonts w:ascii="David" w:hAnsi="David" w:cs="David"/>
          <w:b/>
          <w:bCs/>
          <w:color w:val="000000"/>
          <w:sz w:val="24"/>
          <w:szCs w:val="24"/>
          <w:rtl/>
        </w:rPr>
        <w:t xml:space="preserve">העד, מר רוזן: </w:t>
      </w:r>
      <w:r>
        <w:rPr>
          <w:rFonts w:ascii="David" w:hAnsi="David" w:cs="David"/>
          <w:b/>
          <w:bCs/>
          <w:color w:val="000000"/>
          <w:sz w:val="24"/>
          <w:szCs w:val="24"/>
          <w:rtl/>
        </w:rPr>
        <w:tab/>
        <w:t xml:space="preserve">אם צריך אישור מהרבנים, אני אביא. </w:t>
      </w:r>
      <w:r>
        <w:rPr>
          <w:rFonts w:ascii="David" w:hAnsi="David" w:cs="David"/>
          <w:b/>
          <w:bCs/>
          <w:color w:val="000000"/>
          <w:sz w:val="24"/>
          <w:szCs w:val="24"/>
          <w:u w:val="single"/>
          <w:rtl/>
        </w:rPr>
        <w:t>אבל אני לא יודע אם יש איזשהו גם נוהל</w:t>
      </w:r>
      <w:r>
        <w:rPr>
          <w:rFonts w:ascii="David" w:hAnsi="David" w:cs="David"/>
          <w:b/>
          <w:bCs/>
          <w:color w:val="000000"/>
          <w:sz w:val="24"/>
          <w:szCs w:val="24"/>
          <w:rtl/>
        </w:rPr>
        <w:t xml:space="preserve">, זה שייך לנושא משפטי. אולי אפשר לשאול את העורך דין, </w:t>
      </w:r>
    </w:p>
    <w:p w:rsidR="001D708C" w:rsidRDefault="001D708C" w:rsidP="001D708C">
      <w:pPr>
        <w:pStyle w:val="ad"/>
        <w:spacing w:line="360" w:lineRule="auto"/>
        <w:ind w:left="1080"/>
        <w:jc w:val="both"/>
        <w:rPr>
          <w:rFonts w:ascii="David" w:hAnsi="David" w:cs="David"/>
          <w:color w:val="000000"/>
          <w:sz w:val="24"/>
          <w:szCs w:val="24"/>
          <w:rtl/>
        </w:rPr>
      </w:pPr>
    </w:p>
    <w:p w:rsidR="001D708C" w:rsidRDefault="001D708C" w:rsidP="00104E77">
      <w:pPr>
        <w:pStyle w:val="ad"/>
        <w:spacing w:line="360" w:lineRule="auto"/>
        <w:ind w:left="1080"/>
        <w:jc w:val="both"/>
        <w:rPr>
          <w:rFonts w:ascii="David" w:hAnsi="David" w:cs="David"/>
          <w:color w:val="000000"/>
          <w:sz w:val="24"/>
          <w:szCs w:val="24"/>
          <w:rtl/>
        </w:rPr>
      </w:pPr>
      <w:r>
        <w:rPr>
          <w:rFonts w:ascii="David" w:hAnsi="David" w:cs="David"/>
          <w:color w:val="000000"/>
          <w:sz w:val="24"/>
          <w:szCs w:val="24"/>
          <w:rtl/>
        </w:rPr>
        <w:t xml:space="preserve">כאשר נציג הנתבעת מגיע לדיון בו עליו להציג כללים מכוחם </w:t>
      </w:r>
      <w:r w:rsidR="00104E77">
        <w:rPr>
          <w:rFonts w:ascii="David" w:hAnsi="David" w:cs="David" w:hint="cs"/>
          <w:color w:val="000000"/>
          <w:sz w:val="24"/>
          <w:szCs w:val="24"/>
          <w:rtl/>
        </w:rPr>
        <w:t xml:space="preserve">הבחינו בתובעת והפרידו אותה </w:t>
      </w:r>
      <w:r>
        <w:rPr>
          <w:rFonts w:ascii="David" w:hAnsi="David" w:cs="David"/>
          <w:color w:val="000000"/>
          <w:sz w:val="24"/>
          <w:szCs w:val="24"/>
          <w:rtl/>
        </w:rPr>
        <w:t xml:space="preserve">מהציבור, הרי חזקה עליו שידע שעליו להציג אותם כללים. כך גם הובטח שייעשה, בדיון קדם המשפט </w:t>
      </w:r>
      <w:r w:rsidR="00104E77">
        <w:rPr>
          <w:rFonts w:ascii="David" w:hAnsi="David" w:cs="David" w:hint="cs"/>
          <w:color w:val="000000"/>
          <w:sz w:val="24"/>
          <w:szCs w:val="24"/>
          <w:rtl/>
        </w:rPr>
        <w:t>שהתקיים</w:t>
      </w:r>
      <w:r>
        <w:rPr>
          <w:rFonts w:ascii="David" w:hAnsi="David" w:cs="David"/>
          <w:color w:val="000000"/>
          <w:sz w:val="24"/>
          <w:szCs w:val="24"/>
          <w:rtl/>
        </w:rPr>
        <w:t xml:space="preserve">. </w:t>
      </w:r>
      <w:r w:rsidR="00104E77">
        <w:rPr>
          <w:rFonts w:ascii="David" w:hAnsi="David" w:cs="David" w:hint="cs"/>
          <w:color w:val="000000"/>
          <w:sz w:val="24"/>
          <w:szCs w:val="24"/>
          <w:rtl/>
        </w:rPr>
        <w:t>כאשר</w:t>
      </w:r>
      <w:r>
        <w:rPr>
          <w:rFonts w:ascii="David" w:hAnsi="David" w:cs="David"/>
          <w:color w:val="000000"/>
          <w:sz w:val="24"/>
          <w:szCs w:val="24"/>
          <w:rtl/>
        </w:rPr>
        <w:t xml:space="preserve"> לא מוצגים כללים – הרי בוודאי הנכון הוא שאלה כלל לא קיימים.</w:t>
      </w:r>
    </w:p>
    <w:p w:rsidR="001D708C" w:rsidRDefault="001D708C" w:rsidP="001D708C">
      <w:pPr>
        <w:pStyle w:val="ad"/>
        <w:spacing w:line="360" w:lineRule="auto"/>
        <w:ind w:left="1080"/>
        <w:jc w:val="both"/>
        <w:rPr>
          <w:rFonts w:ascii="David" w:hAnsi="David" w:cs="David"/>
          <w:color w:val="000000"/>
          <w:sz w:val="24"/>
          <w:szCs w:val="24"/>
          <w:rtl/>
        </w:rPr>
      </w:pPr>
    </w:p>
    <w:p w:rsidR="001D708C" w:rsidRDefault="001D708C" w:rsidP="0023596E">
      <w:pPr>
        <w:pStyle w:val="ad"/>
        <w:numPr>
          <w:ilvl w:val="0"/>
          <w:numId w:val="11"/>
        </w:numPr>
        <w:spacing w:line="360" w:lineRule="auto"/>
        <w:jc w:val="both"/>
        <w:rPr>
          <w:rFonts w:ascii="David" w:hAnsi="David" w:cs="David"/>
          <w:color w:val="000000"/>
          <w:sz w:val="24"/>
          <w:szCs w:val="24"/>
          <w:rtl/>
        </w:rPr>
      </w:pPr>
      <w:r>
        <w:rPr>
          <w:rFonts w:ascii="David" w:hAnsi="David" w:cs="David"/>
          <w:color w:val="000000"/>
          <w:sz w:val="24"/>
          <w:szCs w:val="24"/>
          <w:rtl/>
        </w:rPr>
        <w:t xml:space="preserve">הנתבעת גם לא הציגה פרוטוקול בדיקה של תכני הספרים האסורים. הנתבעת אפילו </w:t>
      </w:r>
      <w:r>
        <w:rPr>
          <w:rFonts w:ascii="David" w:hAnsi="David" w:cs="David"/>
          <w:color w:val="000000"/>
          <w:sz w:val="24"/>
          <w:szCs w:val="24"/>
          <w:u w:val="single"/>
          <w:rtl/>
        </w:rPr>
        <w:t>אינה יודעת מה הם אותם ספרים אסורים</w:t>
      </w:r>
      <w:r w:rsidR="0023596E" w:rsidRPr="0023596E">
        <w:rPr>
          <w:rFonts w:ascii="David" w:hAnsi="David" w:cs="David" w:hint="cs"/>
          <w:color w:val="000000"/>
          <w:sz w:val="24"/>
          <w:szCs w:val="24"/>
          <w:rtl/>
        </w:rPr>
        <w:t>.</w:t>
      </w:r>
      <w:r w:rsidRPr="0023596E">
        <w:rPr>
          <w:rFonts w:ascii="David" w:hAnsi="David" w:cs="David"/>
          <w:color w:val="000000"/>
          <w:sz w:val="24"/>
          <w:szCs w:val="24"/>
          <w:rtl/>
        </w:rPr>
        <w:t xml:space="preserve"> </w:t>
      </w:r>
      <w:r>
        <w:rPr>
          <w:rFonts w:ascii="David" w:hAnsi="David" w:cs="David"/>
          <w:color w:val="000000"/>
          <w:sz w:val="24"/>
          <w:szCs w:val="24"/>
          <w:rtl/>
        </w:rPr>
        <w:t>לענין זה נשאל והשיב נציג הנתבעת (ע"מ 21, שורות 17-20, ההדגשות לא במקור):</w:t>
      </w:r>
    </w:p>
    <w:p w:rsidR="001D708C" w:rsidRDefault="001D708C" w:rsidP="001D708C">
      <w:pPr>
        <w:pStyle w:val="ad"/>
        <w:spacing w:line="360" w:lineRule="auto"/>
        <w:ind w:left="3513" w:hanging="1797"/>
        <w:jc w:val="both"/>
        <w:rPr>
          <w:rFonts w:ascii="David" w:hAnsi="David" w:cs="David"/>
          <w:b/>
          <w:bCs/>
          <w:color w:val="000000"/>
          <w:sz w:val="24"/>
          <w:szCs w:val="24"/>
          <w:rtl/>
        </w:rPr>
      </w:pPr>
      <w:r>
        <w:rPr>
          <w:rFonts w:ascii="David" w:hAnsi="David" w:cs="David"/>
          <w:b/>
          <w:bCs/>
          <w:color w:val="000000"/>
          <w:sz w:val="24"/>
          <w:szCs w:val="24"/>
          <w:rtl/>
        </w:rPr>
        <w:t xml:space="preserve">עו"ד סייף: </w:t>
      </w:r>
      <w:r>
        <w:rPr>
          <w:rFonts w:ascii="David" w:hAnsi="David" w:cs="David"/>
          <w:b/>
          <w:bCs/>
          <w:color w:val="000000"/>
          <w:sz w:val="24"/>
          <w:szCs w:val="24"/>
          <w:rtl/>
        </w:rPr>
        <w:tab/>
        <w:t>אתה לא מכיר את הספרים, נכון?</w:t>
      </w:r>
    </w:p>
    <w:p w:rsidR="001D708C" w:rsidRDefault="001D708C" w:rsidP="001D708C">
      <w:pPr>
        <w:pStyle w:val="ad"/>
        <w:spacing w:line="360" w:lineRule="auto"/>
        <w:ind w:left="3513" w:hanging="1797"/>
        <w:jc w:val="both"/>
        <w:rPr>
          <w:rFonts w:ascii="David" w:hAnsi="David" w:cs="David"/>
          <w:b/>
          <w:bCs/>
          <w:color w:val="000000"/>
          <w:sz w:val="24"/>
          <w:szCs w:val="24"/>
          <w:rtl/>
        </w:rPr>
      </w:pPr>
      <w:r>
        <w:rPr>
          <w:rFonts w:ascii="David" w:hAnsi="David" w:cs="David"/>
          <w:b/>
          <w:bCs/>
          <w:color w:val="000000"/>
          <w:sz w:val="24"/>
          <w:szCs w:val="24"/>
          <w:rtl/>
        </w:rPr>
        <w:t xml:space="preserve">העד, מר רוזן: </w:t>
      </w:r>
      <w:r>
        <w:rPr>
          <w:rFonts w:ascii="David" w:hAnsi="David" w:cs="David"/>
          <w:b/>
          <w:bCs/>
          <w:color w:val="000000"/>
          <w:sz w:val="24"/>
          <w:szCs w:val="24"/>
          <w:rtl/>
        </w:rPr>
        <w:tab/>
        <w:t xml:space="preserve">לא, אני רק מנהל אגף התרבות, </w:t>
      </w:r>
      <w:r>
        <w:rPr>
          <w:rFonts w:ascii="David" w:hAnsi="David" w:cs="David"/>
          <w:b/>
          <w:bCs/>
          <w:color w:val="000000"/>
          <w:sz w:val="24"/>
          <w:szCs w:val="24"/>
          <w:u w:val="single"/>
          <w:rtl/>
        </w:rPr>
        <w:t>אני לא מכיר איזה ספרים יש ואיזה לא</w:t>
      </w:r>
      <w:r>
        <w:rPr>
          <w:rFonts w:ascii="David" w:hAnsi="David" w:cs="David"/>
          <w:b/>
          <w:bCs/>
          <w:color w:val="000000"/>
          <w:sz w:val="24"/>
          <w:szCs w:val="24"/>
          <w:rtl/>
        </w:rPr>
        <w:t>.</w:t>
      </w:r>
    </w:p>
    <w:p w:rsidR="001D708C" w:rsidRDefault="001D708C" w:rsidP="001D708C">
      <w:pPr>
        <w:pStyle w:val="ad"/>
        <w:spacing w:line="360" w:lineRule="auto"/>
        <w:ind w:left="3513" w:hanging="1797"/>
        <w:jc w:val="both"/>
        <w:rPr>
          <w:rFonts w:ascii="David" w:hAnsi="David" w:cs="David"/>
          <w:b/>
          <w:bCs/>
          <w:color w:val="000000"/>
          <w:sz w:val="24"/>
          <w:szCs w:val="24"/>
          <w:rtl/>
        </w:rPr>
      </w:pPr>
      <w:r>
        <w:rPr>
          <w:rFonts w:ascii="David" w:hAnsi="David" w:cs="David"/>
          <w:b/>
          <w:bCs/>
          <w:color w:val="000000"/>
          <w:sz w:val="24"/>
          <w:szCs w:val="24"/>
          <w:rtl/>
        </w:rPr>
        <w:t xml:space="preserve">עו"ד סייף: </w:t>
      </w:r>
      <w:r>
        <w:rPr>
          <w:rFonts w:ascii="David" w:hAnsi="David" w:cs="David"/>
          <w:b/>
          <w:bCs/>
          <w:color w:val="000000"/>
          <w:sz w:val="24"/>
          <w:szCs w:val="24"/>
          <w:rtl/>
        </w:rPr>
        <w:tab/>
        <w:t>ולא קראת את שני הספרים הספציפיים שהוגשה בגינם התביעה?</w:t>
      </w:r>
    </w:p>
    <w:p w:rsidR="001D708C" w:rsidRDefault="001D708C" w:rsidP="001D708C">
      <w:pPr>
        <w:pStyle w:val="ad"/>
        <w:spacing w:line="360" w:lineRule="auto"/>
        <w:ind w:left="3513" w:hanging="1797"/>
        <w:jc w:val="both"/>
        <w:rPr>
          <w:rFonts w:ascii="David" w:hAnsi="David" w:cs="David"/>
          <w:color w:val="000000"/>
          <w:sz w:val="24"/>
          <w:szCs w:val="24"/>
          <w:rtl/>
        </w:rPr>
      </w:pPr>
      <w:r>
        <w:rPr>
          <w:rFonts w:ascii="David" w:hAnsi="David" w:cs="David"/>
          <w:b/>
          <w:bCs/>
          <w:color w:val="000000"/>
          <w:sz w:val="24"/>
          <w:szCs w:val="24"/>
          <w:rtl/>
        </w:rPr>
        <w:t xml:space="preserve">העד, מר רוזן: </w:t>
      </w:r>
      <w:r>
        <w:rPr>
          <w:rFonts w:ascii="David" w:hAnsi="David" w:cs="David"/>
          <w:b/>
          <w:bCs/>
          <w:color w:val="000000"/>
          <w:sz w:val="24"/>
          <w:szCs w:val="24"/>
          <w:rtl/>
        </w:rPr>
        <w:tab/>
        <w:t>לא קראתי</w:t>
      </w:r>
      <w:r>
        <w:rPr>
          <w:rFonts w:ascii="David" w:hAnsi="David" w:cs="David"/>
          <w:color w:val="000000"/>
          <w:sz w:val="24"/>
          <w:szCs w:val="24"/>
          <w:rtl/>
        </w:rPr>
        <w:t>.</w:t>
      </w:r>
    </w:p>
    <w:p w:rsidR="001D708C" w:rsidRDefault="001D708C" w:rsidP="001D708C">
      <w:pPr>
        <w:pStyle w:val="ad"/>
        <w:spacing w:line="360" w:lineRule="auto"/>
        <w:ind w:left="1080"/>
        <w:jc w:val="both"/>
        <w:rPr>
          <w:rFonts w:ascii="David" w:hAnsi="David" w:cs="David"/>
          <w:color w:val="000000"/>
          <w:sz w:val="24"/>
          <w:szCs w:val="24"/>
          <w:rtl/>
        </w:rPr>
      </w:pPr>
    </w:p>
    <w:p w:rsidR="001D708C" w:rsidRDefault="001D708C" w:rsidP="001D708C">
      <w:pPr>
        <w:pStyle w:val="ad"/>
        <w:spacing w:line="360" w:lineRule="auto"/>
        <w:ind w:left="755"/>
        <w:jc w:val="both"/>
        <w:rPr>
          <w:rFonts w:ascii="David" w:hAnsi="David" w:cs="David"/>
          <w:color w:val="000000"/>
          <w:sz w:val="24"/>
          <w:szCs w:val="24"/>
          <w:rtl/>
        </w:rPr>
      </w:pPr>
      <w:r>
        <w:rPr>
          <w:rFonts w:ascii="David" w:hAnsi="David" w:cs="David"/>
          <w:color w:val="000000"/>
          <w:sz w:val="24"/>
          <w:szCs w:val="24"/>
          <w:rtl/>
        </w:rPr>
        <w:t xml:space="preserve">אין צורך, כמובן, שנציג הנתבעת יקרא ויכיר את כל ספרי הספריה. אך כאשר קיים ארון סגור ובו ספרים האסורים לנשים שאינן נשואות, וכאשר מתנהל הליך באשר לתכולת אותו ארון – הרי ניתן לצפות מהנתבעת שתספק רשימה של הספרים האסורים. הנתבעת לא עשתה כן. </w:t>
      </w:r>
    </w:p>
    <w:p w:rsidR="001D708C" w:rsidRDefault="001D708C" w:rsidP="001D708C">
      <w:pPr>
        <w:pStyle w:val="ad"/>
        <w:spacing w:line="360" w:lineRule="auto"/>
        <w:ind w:left="755"/>
        <w:jc w:val="both"/>
        <w:rPr>
          <w:rFonts w:ascii="David" w:hAnsi="David" w:cs="David"/>
          <w:color w:val="000000"/>
          <w:sz w:val="24"/>
          <w:szCs w:val="24"/>
          <w:rtl/>
        </w:rPr>
      </w:pPr>
    </w:p>
    <w:p w:rsidR="001D708C" w:rsidRDefault="001D708C" w:rsidP="001D708C">
      <w:pPr>
        <w:pStyle w:val="ad"/>
        <w:numPr>
          <w:ilvl w:val="0"/>
          <w:numId w:val="11"/>
        </w:numPr>
        <w:spacing w:line="360" w:lineRule="auto"/>
        <w:jc w:val="both"/>
        <w:rPr>
          <w:rFonts w:ascii="David" w:hAnsi="David" w:cs="David"/>
          <w:color w:val="000000"/>
          <w:sz w:val="24"/>
          <w:szCs w:val="24"/>
          <w:rtl/>
        </w:rPr>
      </w:pPr>
      <w:r>
        <w:rPr>
          <w:rFonts w:ascii="David" w:hAnsi="David" w:cs="David"/>
          <w:color w:val="000000"/>
          <w:sz w:val="24"/>
          <w:szCs w:val="24"/>
          <w:rtl/>
        </w:rPr>
        <w:t xml:space="preserve">גם בהמשך, וכאשר ניתנה לנציג הנתבעת אפשרות להתייחס לאותם קריטריונים נטענים, הרי הוא </w:t>
      </w:r>
      <w:r w:rsidRPr="00104E77">
        <w:rPr>
          <w:rFonts w:ascii="David" w:hAnsi="David" w:cs="David"/>
          <w:color w:val="000000"/>
          <w:sz w:val="24"/>
          <w:szCs w:val="24"/>
          <w:u w:val="single"/>
          <w:rtl/>
        </w:rPr>
        <w:t>נאלם דום</w:t>
      </w:r>
      <w:r>
        <w:rPr>
          <w:rFonts w:ascii="David" w:hAnsi="David" w:cs="David"/>
          <w:color w:val="000000"/>
          <w:sz w:val="24"/>
          <w:szCs w:val="24"/>
          <w:rtl/>
        </w:rPr>
        <w:t xml:space="preserve"> וכך הדבר מופיע בפרוטוקול הדיון (ע"מ 22, שורות 7-15, ההדגשות לא במקור):</w:t>
      </w:r>
    </w:p>
    <w:p w:rsidR="001D708C" w:rsidRDefault="001D708C" w:rsidP="001D708C">
      <w:pPr>
        <w:pStyle w:val="ad"/>
        <w:spacing w:line="360" w:lineRule="auto"/>
        <w:ind w:left="3513" w:hanging="1797"/>
        <w:jc w:val="both"/>
        <w:rPr>
          <w:rFonts w:ascii="David" w:hAnsi="David" w:cs="David"/>
          <w:b/>
          <w:bCs/>
          <w:color w:val="000000"/>
          <w:sz w:val="24"/>
          <w:szCs w:val="24"/>
        </w:rPr>
      </w:pPr>
      <w:r>
        <w:rPr>
          <w:rFonts w:ascii="David" w:hAnsi="David" w:cs="David"/>
          <w:b/>
          <w:bCs/>
          <w:color w:val="000000"/>
          <w:sz w:val="24"/>
          <w:szCs w:val="24"/>
          <w:rtl/>
        </w:rPr>
        <w:lastRenderedPageBreak/>
        <w:t xml:space="preserve">עו"ד סייף: </w:t>
      </w:r>
      <w:r>
        <w:rPr>
          <w:rFonts w:ascii="David" w:hAnsi="David" w:cs="David"/>
          <w:b/>
          <w:bCs/>
          <w:color w:val="000000"/>
          <w:sz w:val="24"/>
          <w:szCs w:val="24"/>
          <w:rtl/>
        </w:rPr>
        <w:tab/>
      </w:r>
      <w:r>
        <w:rPr>
          <w:rFonts w:ascii="David" w:hAnsi="David" w:cs="David"/>
          <w:b/>
          <w:bCs/>
          <w:color w:val="000000"/>
          <w:sz w:val="24"/>
          <w:szCs w:val="24"/>
          <w:u w:val="single"/>
          <w:rtl/>
        </w:rPr>
        <w:t>למה לא צירפת את הכללים האלה, את הקריטריונים</w:t>
      </w:r>
      <w:r>
        <w:rPr>
          <w:rFonts w:ascii="David" w:hAnsi="David" w:cs="David"/>
          <w:b/>
          <w:bCs/>
          <w:color w:val="000000"/>
          <w:sz w:val="24"/>
          <w:szCs w:val="24"/>
          <w:rtl/>
        </w:rPr>
        <w:t>? אתה יודע, אני עברתי על כתב ההגנה שלכם, שאני מניחה שקראת. אם כבר קראת את כתב התביעה ואת התצהיר, בטח קראת את מה שאתם הגשתם. עברתי על כתב ההגנה שלכם וספרתי אחד, אחד. ואני מוכנה להראות לך את זה, ש-15 פעמים לפחות, הזכרתם את המילים קריטריונים, כללים, מדיניות.</w:t>
      </w:r>
    </w:p>
    <w:p w:rsidR="001D708C" w:rsidRDefault="001D708C" w:rsidP="001D708C">
      <w:pPr>
        <w:pStyle w:val="ad"/>
        <w:spacing w:line="360" w:lineRule="auto"/>
        <w:ind w:left="3513" w:hanging="1797"/>
        <w:jc w:val="both"/>
        <w:rPr>
          <w:rFonts w:ascii="David" w:hAnsi="David" w:cs="David"/>
          <w:b/>
          <w:bCs/>
          <w:color w:val="000000"/>
          <w:sz w:val="24"/>
          <w:szCs w:val="24"/>
          <w:rtl/>
        </w:rPr>
      </w:pPr>
      <w:r>
        <w:rPr>
          <w:rFonts w:ascii="David" w:hAnsi="David" w:cs="David"/>
          <w:b/>
          <w:bCs/>
          <w:color w:val="000000"/>
          <w:sz w:val="24"/>
          <w:szCs w:val="24"/>
          <w:rtl/>
        </w:rPr>
        <w:t>...</w:t>
      </w:r>
    </w:p>
    <w:p w:rsidR="001D708C" w:rsidRDefault="001D708C" w:rsidP="001D708C">
      <w:pPr>
        <w:pStyle w:val="ad"/>
        <w:spacing w:line="360" w:lineRule="auto"/>
        <w:ind w:left="3513" w:hanging="1797"/>
        <w:jc w:val="both"/>
        <w:rPr>
          <w:rFonts w:ascii="David" w:hAnsi="David" w:cs="David"/>
          <w:b/>
          <w:bCs/>
          <w:color w:val="000000"/>
          <w:sz w:val="24"/>
          <w:szCs w:val="24"/>
          <w:rtl/>
        </w:rPr>
      </w:pPr>
      <w:r>
        <w:rPr>
          <w:rFonts w:ascii="David" w:hAnsi="David" w:cs="David"/>
          <w:b/>
          <w:bCs/>
          <w:color w:val="000000"/>
          <w:sz w:val="24"/>
          <w:szCs w:val="24"/>
          <w:rtl/>
        </w:rPr>
        <w:t xml:space="preserve">העד, מר רוזן: </w:t>
      </w:r>
      <w:r>
        <w:rPr>
          <w:rFonts w:ascii="David" w:hAnsi="David" w:cs="David"/>
          <w:b/>
          <w:bCs/>
          <w:color w:val="000000"/>
          <w:sz w:val="24"/>
          <w:szCs w:val="24"/>
          <w:rtl/>
        </w:rPr>
        <w:tab/>
      </w:r>
      <w:r>
        <w:rPr>
          <w:rFonts w:ascii="David" w:hAnsi="David" w:cs="David"/>
          <w:b/>
          <w:bCs/>
          <w:color w:val="000000"/>
          <w:sz w:val="24"/>
          <w:szCs w:val="24"/>
          <w:u w:val="single"/>
          <w:rtl/>
        </w:rPr>
        <w:t>אין לי מה לענות</w:t>
      </w:r>
      <w:r>
        <w:rPr>
          <w:rFonts w:ascii="David" w:hAnsi="David" w:cs="David"/>
          <w:b/>
          <w:bCs/>
          <w:color w:val="000000"/>
          <w:sz w:val="24"/>
          <w:szCs w:val="24"/>
          <w:rtl/>
        </w:rPr>
        <w:t>.</w:t>
      </w:r>
    </w:p>
    <w:p w:rsidR="001D708C" w:rsidRDefault="001D708C" w:rsidP="001D708C">
      <w:pPr>
        <w:pStyle w:val="ad"/>
        <w:spacing w:line="360" w:lineRule="auto"/>
        <w:ind w:left="755"/>
        <w:jc w:val="both"/>
        <w:rPr>
          <w:rFonts w:ascii="David" w:hAnsi="David" w:cs="David"/>
          <w:color w:val="000000"/>
          <w:sz w:val="24"/>
          <w:szCs w:val="24"/>
          <w:rtl/>
        </w:rPr>
      </w:pPr>
    </w:p>
    <w:p w:rsidR="001D708C" w:rsidRDefault="009B3732" w:rsidP="00EB0DDA">
      <w:pPr>
        <w:pStyle w:val="ad"/>
        <w:spacing w:line="360" w:lineRule="auto"/>
        <w:ind w:left="755"/>
        <w:jc w:val="both"/>
        <w:rPr>
          <w:rFonts w:ascii="David" w:hAnsi="David" w:cs="David"/>
          <w:color w:val="000000"/>
          <w:sz w:val="24"/>
          <w:szCs w:val="24"/>
        </w:rPr>
      </w:pPr>
      <w:r>
        <w:rPr>
          <w:rFonts w:ascii="David" w:hAnsi="David" w:cs="David"/>
          <w:color w:val="000000"/>
          <w:sz w:val="24"/>
          <w:szCs w:val="24"/>
          <w:rtl/>
        </w:rPr>
        <w:t>נראה ש</w:t>
      </w:r>
      <w:r w:rsidR="001D708C">
        <w:rPr>
          <w:rFonts w:ascii="David" w:hAnsi="David" w:cs="David"/>
          <w:color w:val="000000"/>
          <w:sz w:val="24"/>
          <w:szCs w:val="24"/>
          <w:rtl/>
        </w:rPr>
        <w:t xml:space="preserve">כלל לא קיימים קריטריונים. האיסור על קריאת ספרים מסוימים הוא פרי החלטה כוחנית שכלל אינה מעוגנת בדבר, ובוודאי לא נעשתה כל בדיקה </w:t>
      </w:r>
      <w:r w:rsidR="0023596E">
        <w:rPr>
          <w:rFonts w:ascii="David" w:hAnsi="David" w:cs="David" w:hint="cs"/>
          <w:color w:val="000000"/>
          <w:sz w:val="24"/>
          <w:szCs w:val="24"/>
          <w:rtl/>
        </w:rPr>
        <w:t xml:space="preserve">טרם </w:t>
      </w:r>
      <w:r w:rsidR="00EB0DDA">
        <w:rPr>
          <w:rFonts w:ascii="David" w:hAnsi="David" w:cs="David" w:hint="cs"/>
          <w:color w:val="000000"/>
          <w:sz w:val="24"/>
          <w:szCs w:val="24"/>
          <w:rtl/>
        </w:rPr>
        <w:t>הפעלת הכח</w:t>
      </w:r>
      <w:r w:rsidR="001D708C">
        <w:rPr>
          <w:rFonts w:ascii="David" w:hAnsi="David" w:cs="David"/>
          <w:color w:val="000000"/>
          <w:sz w:val="24"/>
          <w:szCs w:val="24"/>
          <w:rtl/>
        </w:rPr>
        <w:t xml:space="preserve">. מכאן, נראה שלא בכדי נמנעה הנתבעת ממתן תשובות לתובעת ומפירוט הקריטריונים. לא בכדי הסתפקה הנתבעת בתשובה קצרה המרמזת לכך שעל התובעת להינשא וכלשון התשובה - </w:t>
      </w:r>
      <w:r w:rsidR="001D708C">
        <w:rPr>
          <w:rFonts w:ascii="David" w:hAnsi="David" w:cs="David"/>
          <w:b/>
          <w:bCs/>
          <w:color w:val="000000"/>
          <w:sz w:val="24"/>
          <w:szCs w:val="24"/>
          <w:rtl/>
        </w:rPr>
        <w:t>"תלוי מצב... בהצלחה"</w:t>
      </w:r>
      <w:r w:rsidR="001D708C">
        <w:rPr>
          <w:rFonts w:ascii="David" w:hAnsi="David" w:cs="David"/>
          <w:color w:val="000000"/>
          <w:sz w:val="24"/>
          <w:szCs w:val="24"/>
          <w:rtl/>
        </w:rPr>
        <w:t xml:space="preserve"> (ר' סע</w:t>
      </w:r>
      <w:r>
        <w:rPr>
          <w:rFonts w:ascii="David" w:hAnsi="David" w:cs="David" w:hint="cs"/>
          <w:color w:val="000000"/>
          <w:sz w:val="24"/>
          <w:szCs w:val="24"/>
          <w:rtl/>
        </w:rPr>
        <w:t>יף</w:t>
      </w:r>
      <w:r w:rsidR="00EB0DDA">
        <w:rPr>
          <w:rFonts w:ascii="David" w:hAnsi="David" w:cs="David"/>
          <w:color w:val="000000"/>
          <w:sz w:val="24"/>
          <w:szCs w:val="24"/>
          <w:rtl/>
        </w:rPr>
        <w:t xml:space="preserve"> 5.4(ב) לעיל)</w:t>
      </w:r>
      <w:r w:rsidR="00EB0DDA">
        <w:rPr>
          <w:rFonts w:ascii="David" w:hAnsi="David" w:cs="David" w:hint="cs"/>
          <w:color w:val="000000"/>
          <w:sz w:val="24"/>
          <w:szCs w:val="24"/>
          <w:rtl/>
        </w:rPr>
        <w:t xml:space="preserve">, </w:t>
      </w:r>
      <w:r w:rsidR="001D708C">
        <w:rPr>
          <w:rFonts w:ascii="David" w:hAnsi="David" w:cs="David"/>
          <w:color w:val="000000"/>
          <w:sz w:val="24"/>
          <w:szCs w:val="24"/>
          <w:rtl/>
        </w:rPr>
        <w:t xml:space="preserve">שהרי לא היתה בידי הנתבעת כל תשובה מנומקת. </w:t>
      </w:r>
    </w:p>
    <w:p w:rsidR="001D708C" w:rsidRDefault="001D708C" w:rsidP="001D708C">
      <w:pPr>
        <w:pStyle w:val="ad"/>
        <w:spacing w:line="360" w:lineRule="auto"/>
        <w:ind w:left="1080"/>
        <w:jc w:val="both"/>
        <w:rPr>
          <w:rFonts w:ascii="David" w:hAnsi="David" w:cs="David"/>
          <w:color w:val="000000"/>
          <w:sz w:val="24"/>
          <w:szCs w:val="24"/>
          <w:rtl/>
        </w:rPr>
      </w:pPr>
    </w:p>
    <w:p w:rsidR="001D708C" w:rsidRDefault="001D708C" w:rsidP="001D708C">
      <w:pPr>
        <w:pStyle w:val="ad"/>
        <w:numPr>
          <w:ilvl w:val="0"/>
          <w:numId w:val="11"/>
        </w:numPr>
        <w:spacing w:line="360" w:lineRule="auto"/>
        <w:jc w:val="both"/>
        <w:rPr>
          <w:rFonts w:ascii="David" w:hAnsi="David" w:cs="David"/>
          <w:color w:val="000000"/>
          <w:sz w:val="24"/>
          <w:szCs w:val="24"/>
          <w:rtl/>
        </w:rPr>
      </w:pPr>
      <w:r>
        <w:rPr>
          <w:rFonts w:ascii="David" w:hAnsi="David" w:cs="David"/>
          <w:color w:val="000000"/>
          <w:sz w:val="24"/>
          <w:szCs w:val="24"/>
          <w:rtl/>
        </w:rPr>
        <w:t>נציג הנתבעת, אשר כלל לא ידע מה הם אותם "ספרים אסורים" העלה לפתע טענה כ'משיח לפי תומו' לפיה האיסור הוא בשל עניינים שבינו לבינה וכלשונו (ע"מ 21, שו' 12-14):</w:t>
      </w:r>
    </w:p>
    <w:p w:rsidR="001D708C" w:rsidRDefault="001D708C" w:rsidP="001D708C">
      <w:pPr>
        <w:pStyle w:val="ad"/>
        <w:spacing w:line="360" w:lineRule="auto"/>
        <w:ind w:left="3600" w:hanging="1930"/>
        <w:jc w:val="both"/>
        <w:rPr>
          <w:rFonts w:ascii="David" w:hAnsi="David" w:cs="David"/>
          <w:b/>
          <w:bCs/>
          <w:color w:val="000000"/>
          <w:sz w:val="24"/>
          <w:szCs w:val="24"/>
        </w:rPr>
      </w:pPr>
      <w:r>
        <w:rPr>
          <w:rFonts w:ascii="David" w:hAnsi="David" w:cs="David"/>
          <w:b/>
          <w:bCs/>
          <w:color w:val="000000"/>
          <w:sz w:val="24"/>
          <w:szCs w:val="24"/>
          <w:rtl/>
        </w:rPr>
        <w:t xml:space="preserve">העד, מר רוזן: </w:t>
      </w:r>
      <w:r>
        <w:rPr>
          <w:rFonts w:ascii="David" w:hAnsi="David" w:cs="David"/>
          <w:b/>
          <w:bCs/>
          <w:color w:val="000000"/>
          <w:sz w:val="24"/>
          <w:szCs w:val="24"/>
          <w:rtl/>
        </w:rPr>
        <w:tab/>
        <w:t>בדרך כלל. אז הדברים האלה שהצניעות גם יפה להם, שזה בינו לבינה, זה חלק מהדברים. לא שמים את זה בשאר הספרייה, אלא יש עמדה מיוחדת, שזה רק לנשואים.</w:t>
      </w:r>
    </w:p>
    <w:p w:rsidR="001D708C" w:rsidRDefault="001D708C" w:rsidP="001D708C">
      <w:pPr>
        <w:pStyle w:val="ad"/>
        <w:spacing w:line="360" w:lineRule="auto"/>
        <w:ind w:left="1080"/>
        <w:jc w:val="both"/>
        <w:rPr>
          <w:rFonts w:ascii="David" w:hAnsi="David" w:cs="David"/>
          <w:b/>
          <w:bCs/>
          <w:color w:val="000000"/>
          <w:sz w:val="24"/>
          <w:szCs w:val="24"/>
          <w:rtl/>
        </w:rPr>
      </w:pPr>
    </w:p>
    <w:p w:rsidR="001D708C" w:rsidRDefault="001D708C" w:rsidP="00EB0DDA">
      <w:pPr>
        <w:pStyle w:val="ad"/>
        <w:spacing w:line="360" w:lineRule="auto"/>
        <w:ind w:left="755"/>
        <w:jc w:val="both"/>
        <w:rPr>
          <w:rFonts w:ascii="David" w:hAnsi="David" w:cs="David"/>
          <w:color w:val="000000"/>
          <w:sz w:val="24"/>
          <w:szCs w:val="24"/>
          <w:rtl/>
        </w:rPr>
      </w:pPr>
      <w:r>
        <w:rPr>
          <w:rFonts w:ascii="David" w:hAnsi="David" w:cs="David"/>
          <w:color w:val="000000"/>
          <w:sz w:val="24"/>
          <w:szCs w:val="24"/>
          <w:rtl/>
        </w:rPr>
        <w:t xml:space="preserve">קשה לקבל טענה כללית זו, שהועלתה ללא כל בדיקה. קשה לקבל הטענה, שכן גם בתנ"ך וכבר בספר "בראשית" – אשר מותר לקריאה על ידי התובעת, נמצאים להם דברים שעל פניו מערבים גם נשים ואולי אף דברים שבינו לבינה. וכך – כבר עם סיפורי האבות ניתן ללמוד על   </w:t>
      </w:r>
      <w:r>
        <w:rPr>
          <w:rFonts w:ascii="David" w:hAnsi="David" w:cs="David"/>
          <w:color w:val="000000"/>
          <w:sz w:val="24"/>
          <w:szCs w:val="24"/>
          <w:u w:val="single"/>
          <w:rtl/>
        </w:rPr>
        <w:t xml:space="preserve"> אברהם אבינו</w:t>
      </w:r>
      <w:r>
        <w:rPr>
          <w:rFonts w:ascii="David" w:hAnsi="David" w:cs="David"/>
          <w:color w:val="000000"/>
          <w:sz w:val="24"/>
          <w:szCs w:val="24"/>
          <w:rtl/>
        </w:rPr>
        <w:t xml:space="preserve"> אשר חשש לחייו בשל יופיה של שרה (עדיין שרי) אשתו ומכאן ביקש שתאמר שהיא אחותו; </w:t>
      </w:r>
      <w:r>
        <w:rPr>
          <w:rFonts w:ascii="David" w:hAnsi="David" w:cs="David"/>
          <w:color w:val="000000"/>
          <w:sz w:val="24"/>
          <w:szCs w:val="24"/>
          <w:u w:val="single"/>
          <w:rtl/>
        </w:rPr>
        <w:t>עוד ניתן לקרוא על יצחק אבינו</w:t>
      </w:r>
      <w:r>
        <w:rPr>
          <w:rFonts w:ascii="David" w:hAnsi="David" w:cs="David"/>
          <w:color w:val="000000"/>
          <w:sz w:val="24"/>
          <w:szCs w:val="24"/>
          <w:rtl/>
        </w:rPr>
        <w:t xml:space="preserve">, אשר עליו נאמר שאבימלך מלך פלישתים ראה כיצד </w:t>
      </w:r>
      <w:r>
        <w:rPr>
          <w:rFonts w:ascii="David" w:hAnsi="David" w:cs="David"/>
          <w:b/>
          <w:bCs/>
          <w:color w:val="000000"/>
          <w:sz w:val="24"/>
          <w:szCs w:val="24"/>
          <w:rtl/>
        </w:rPr>
        <w:t>"יצחק מצחק את רבקה אשתו"</w:t>
      </w:r>
      <w:r>
        <w:rPr>
          <w:rFonts w:ascii="David" w:hAnsi="David" w:cs="David"/>
          <w:color w:val="000000"/>
          <w:sz w:val="24"/>
          <w:szCs w:val="24"/>
          <w:rtl/>
        </w:rPr>
        <w:t xml:space="preserve">; </w:t>
      </w:r>
      <w:r>
        <w:rPr>
          <w:rFonts w:ascii="David" w:hAnsi="David" w:cs="David"/>
          <w:color w:val="000000"/>
          <w:sz w:val="24"/>
          <w:szCs w:val="24"/>
          <w:u w:val="single"/>
          <w:rtl/>
        </w:rPr>
        <w:t>עוד ניתן לקרוא על יעקב אבינו</w:t>
      </w:r>
      <w:r>
        <w:rPr>
          <w:rFonts w:ascii="David" w:hAnsi="David" w:cs="David"/>
          <w:color w:val="000000"/>
          <w:sz w:val="24"/>
          <w:szCs w:val="24"/>
          <w:rtl/>
        </w:rPr>
        <w:t xml:space="preserve"> וארבע הנשים מהם קמנו אנחנו עם ישראל  - לאה ורחל וכן בלהה וזלפה; </w:t>
      </w:r>
      <w:r>
        <w:rPr>
          <w:rFonts w:ascii="David" w:hAnsi="David" w:cs="David"/>
          <w:color w:val="000000"/>
          <w:sz w:val="24"/>
          <w:szCs w:val="24"/>
          <w:u w:val="single"/>
          <w:rtl/>
        </w:rPr>
        <w:t>עוד ניתן ללמוד על ראובן</w:t>
      </w:r>
      <w:r>
        <w:rPr>
          <w:rFonts w:ascii="David" w:hAnsi="David" w:cs="David"/>
          <w:color w:val="000000"/>
          <w:sz w:val="24"/>
          <w:szCs w:val="24"/>
          <w:rtl/>
        </w:rPr>
        <w:t xml:space="preserve"> אשר שכב עם בלהה פילגש אביו יעקב; </w:t>
      </w:r>
      <w:r>
        <w:rPr>
          <w:rFonts w:ascii="David" w:hAnsi="David" w:cs="David"/>
          <w:color w:val="000000"/>
          <w:sz w:val="24"/>
          <w:szCs w:val="24"/>
          <w:u w:val="single"/>
          <w:rtl/>
        </w:rPr>
        <w:t>ועוד ניתן לקרוא על יהודה</w:t>
      </w:r>
      <w:r>
        <w:rPr>
          <w:rFonts w:ascii="David" w:hAnsi="David" w:cs="David"/>
          <w:color w:val="000000"/>
          <w:sz w:val="24"/>
          <w:szCs w:val="24"/>
          <w:rtl/>
        </w:rPr>
        <w:t xml:space="preserve"> בנו של יעקב אבינו אשר הורה לשרוף חיים את תמר אלמנת בנו, מכיוון שזו זנתה והרתה לאחר מות הבן. למרבה המזל, ביטל יהודה את הוראתו, לאחר שהתחוור לו שתמר האלמנה הרתה לו. אותה אלמנה הרתה ליהודה עת חשב שהיא יצאנית שנקרתה בדרכו.</w:t>
      </w:r>
    </w:p>
    <w:p w:rsidR="00104E77" w:rsidRDefault="00104E77" w:rsidP="001D708C">
      <w:pPr>
        <w:pStyle w:val="ad"/>
        <w:spacing w:line="360" w:lineRule="auto"/>
        <w:ind w:left="755"/>
        <w:jc w:val="both"/>
        <w:rPr>
          <w:rFonts w:ascii="David" w:hAnsi="David" w:cs="David"/>
          <w:color w:val="000000"/>
          <w:sz w:val="24"/>
          <w:szCs w:val="24"/>
          <w:rtl/>
        </w:rPr>
      </w:pPr>
    </w:p>
    <w:p w:rsidR="001D708C" w:rsidRDefault="001D708C" w:rsidP="001D708C">
      <w:pPr>
        <w:pStyle w:val="ad"/>
        <w:spacing w:line="360" w:lineRule="auto"/>
        <w:ind w:left="755"/>
        <w:jc w:val="both"/>
        <w:rPr>
          <w:rFonts w:ascii="David" w:hAnsi="David" w:cs="David"/>
          <w:color w:val="000000"/>
          <w:sz w:val="24"/>
          <w:szCs w:val="24"/>
          <w:rtl/>
        </w:rPr>
      </w:pPr>
      <w:r>
        <w:rPr>
          <w:rFonts w:ascii="David" w:hAnsi="David" w:cs="David"/>
          <w:color w:val="000000"/>
          <w:sz w:val="24"/>
          <w:szCs w:val="24"/>
          <w:rtl/>
        </w:rPr>
        <w:t>כל אלה מותרים לקריאה על ידי התובעת. התנ"ך לא נאסר לקריאה על ידי הספרנית העלומה שכלל לא התייצבה לדיון ואשר נטען שעזבה את מקום עבודתה. אך עדיין קיים ארון הספרים האסור בספריה, שחלילה פן רווקה תקרא בו.</w:t>
      </w:r>
    </w:p>
    <w:p w:rsidR="001D708C" w:rsidRDefault="001D708C" w:rsidP="001D708C">
      <w:pPr>
        <w:pStyle w:val="ad"/>
        <w:spacing w:line="360" w:lineRule="auto"/>
        <w:ind w:left="395"/>
        <w:jc w:val="both"/>
        <w:rPr>
          <w:rFonts w:ascii="David" w:hAnsi="David" w:cs="David"/>
          <w:color w:val="000000"/>
          <w:sz w:val="24"/>
          <w:szCs w:val="24"/>
          <w:rtl/>
        </w:rPr>
      </w:pPr>
    </w:p>
    <w:p w:rsidR="001D708C" w:rsidRDefault="001D708C" w:rsidP="001D708C">
      <w:pPr>
        <w:pStyle w:val="ad"/>
        <w:numPr>
          <w:ilvl w:val="1"/>
          <w:numId w:val="1"/>
        </w:numPr>
        <w:spacing w:line="360" w:lineRule="auto"/>
        <w:ind w:left="395" w:hanging="426"/>
        <w:jc w:val="both"/>
        <w:rPr>
          <w:rFonts w:ascii="David" w:hAnsi="David" w:cs="David"/>
          <w:color w:val="000000"/>
          <w:sz w:val="24"/>
          <w:szCs w:val="24"/>
        </w:rPr>
      </w:pPr>
      <w:r>
        <w:rPr>
          <w:rFonts w:ascii="David" w:hAnsi="David" w:cs="David"/>
          <w:b/>
          <w:bCs/>
          <w:color w:val="000000"/>
          <w:sz w:val="24"/>
          <w:szCs w:val="24"/>
          <w:u w:val="single"/>
          <w:rtl/>
        </w:rPr>
        <w:t>סוף דבר באשר לשאלה השניה מארבע – אין לנתבעת כל רשימת כללים לפיהם נאסרים ספרים לקריאה, אין גם כל מערך מובנה להכנסת ספרים לארון האסור להשאלה לנשים דוגמת התובעת</w:t>
      </w:r>
      <w:r>
        <w:rPr>
          <w:rFonts w:ascii="David" w:hAnsi="David" w:cs="David"/>
          <w:color w:val="000000"/>
          <w:sz w:val="24"/>
          <w:szCs w:val="24"/>
          <w:rtl/>
        </w:rPr>
        <w:t xml:space="preserve"> </w:t>
      </w:r>
      <w:r>
        <w:rPr>
          <w:rFonts w:ascii="David" w:hAnsi="David" w:cs="David"/>
          <w:b/>
          <w:bCs/>
          <w:color w:val="000000"/>
          <w:sz w:val="24"/>
          <w:szCs w:val="24"/>
          <w:u w:val="single"/>
          <w:rtl/>
        </w:rPr>
        <w:t>שלא התחתנו</w:t>
      </w:r>
    </w:p>
    <w:p w:rsidR="001D708C" w:rsidRDefault="001D708C" w:rsidP="001D708C">
      <w:pPr>
        <w:pStyle w:val="ad"/>
        <w:spacing w:line="360" w:lineRule="auto"/>
        <w:ind w:left="395"/>
        <w:jc w:val="both"/>
        <w:rPr>
          <w:rFonts w:ascii="David" w:hAnsi="David" w:cs="David"/>
          <w:color w:val="000000"/>
          <w:sz w:val="24"/>
          <w:szCs w:val="24"/>
          <w:rtl/>
        </w:rPr>
      </w:pPr>
      <w:r>
        <w:rPr>
          <w:rFonts w:ascii="David" w:hAnsi="David" w:cs="David"/>
          <w:color w:val="000000"/>
          <w:sz w:val="24"/>
          <w:szCs w:val="24"/>
          <w:rtl/>
        </w:rPr>
        <w:t>מכל האמור לעיל עולה בבירור שטענות הנתבעת בכתב ההגנה נותרו ריקות מתוכן וחפות מהוכחה. אין לנתבעת רשימת כללים לפיה נהגה הספרנית שהוסתרה ולא הובאה לעדות; אין שום מנגנון בדיקה של הספרים המוכרזים לאסורים לקריאה לנשים שלא נישאו לאיש; אין שום פרוט</w:t>
      </w:r>
      <w:r w:rsidR="00EB0DDA">
        <w:rPr>
          <w:rFonts w:ascii="David" w:hAnsi="David" w:cs="David"/>
          <w:color w:val="000000"/>
          <w:sz w:val="24"/>
          <w:szCs w:val="24"/>
          <w:rtl/>
        </w:rPr>
        <w:t>וקול המכריז על ספרים מסוימים כא</w:t>
      </w:r>
      <w:r w:rsidR="00EB0DDA">
        <w:rPr>
          <w:rFonts w:ascii="David" w:hAnsi="David" w:cs="David" w:hint="cs"/>
          <w:color w:val="000000"/>
          <w:sz w:val="24"/>
          <w:szCs w:val="24"/>
          <w:rtl/>
        </w:rPr>
        <w:t>ס</w:t>
      </w:r>
      <w:r>
        <w:rPr>
          <w:rFonts w:ascii="David" w:hAnsi="David" w:cs="David"/>
          <w:color w:val="000000"/>
          <w:sz w:val="24"/>
          <w:szCs w:val="24"/>
          <w:rtl/>
        </w:rPr>
        <w:t xml:space="preserve">ורים לקריאה. אין דבר מלבד ההחלטה הכוחנית של הספריה. </w:t>
      </w:r>
    </w:p>
    <w:p w:rsidR="001D708C" w:rsidRDefault="001D708C" w:rsidP="001D708C">
      <w:pPr>
        <w:pStyle w:val="ad"/>
        <w:spacing w:line="360" w:lineRule="auto"/>
        <w:ind w:left="395"/>
        <w:jc w:val="both"/>
        <w:rPr>
          <w:rFonts w:ascii="David" w:hAnsi="David" w:cs="David"/>
          <w:color w:val="000000"/>
          <w:sz w:val="24"/>
          <w:szCs w:val="24"/>
          <w:u w:val="single"/>
          <w:rtl/>
        </w:rPr>
      </w:pPr>
    </w:p>
    <w:p w:rsidR="001D708C" w:rsidRDefault="001D708C" w:rsidP="001D708C">
      <w:pPr>
        <w:pStyle w:val="ad"/>
        <w:numPr>
          <w:ilvl w:val="0"/>
          <w:numId w:val="1"/>
        </w:numPr>
        <w:spacing w:line="360" w:lineRule="auto"/>
        <w:ind w:left="-172" w:hanging="284"/>
        <w:jc w:val="both"/>
        <w:rPr>
          <w:rFonts w:ascii="David" w:hAnsi="David" w:cs="David"/>
          <w:color w:val="000000"/>
          <w:sz w:val="24"/>
          <w:szCs w:val="24"/>
        </w:rPr>
      </w:pPr>
      <w:r>
        <w:rPr>
          <w:rFonts w:ascii="David" w:hAnsi="David" w:cs="David"/>
          <w:b/>
          <w:bCs/>
          <w:color w:val="000000"/>
          <w:sz w:val="24"/>
          <w:szCs w:val="24"/>
          <w:u w:val="single"/>
          <w:rtl/>
        </w:rPr>
        <w:t>דיון בשאלה שלישית מארבע - האם הבחנה ביחס אל התובעת היא בגדר הפליה כמשמעה בחוק איסור הפליה במוצרים ובשירותים?</w:t>
      </w:r>
    </w:p>
    <w:p w:rsidR="001D708C" w:rsidRDefault="001D708C" w:rsidP="001D708C">
      <w:pPr>
        <w:pStyle w:val="ad"/>
        <w:numPr>
          <w:ilvl w:val="1"/>
          <w:numId w:val="1"/>
        </w:numPr>
        <w:spacing w:line="360" w:lineRule="auto"/>
        <w:ind w:left="395" w:hanging="567"/>
        <w:jc w:val="both"/>
        <w:rPr>
          <w:rFonts w:ascii="David" w:hAnsi="David" w:cs="David"/>
          <w:color w:val="000000"/>
          <w:sz w:val="24"/>
          <w:szCs w:val="24"/>
        </w:rPr>
      </w:pPr>
      <w:r>
        <w:rPr>
          <w:rFonts w:ascii="David" w:hAnsi="David" w:cs="David"/>
          <w:b/>
          <w:bCs/>
          <w:color w:val="000000"/>
          <w:sz w:val="24"/>
          <w:szCs w:val="24"/>
          <w:u w:val="single"/>
          <w:rtl/>
        </w:rPr>
        <w:t>כללי</w:t>
      </w:r>
    </w:p>
    <w:p w:rsidR="001D708C" w:rsidRDefault="001D708C" w:rsidP="00EB0DDA">
      <w:pPr>
        <w:pStyle w:val="ad"/>
        <w:spacing w:line="360" w:lineRule="auto"/>
        <w:ind w:left="395"/>
        <w:jc w:val="both"/>
        <w:rPr>
          <w:rFonts w:ascii="David" w:hAnsi="David" w:cs="David"/>
          <w:color w:val="000000"/>
          <w:sz w:val="24"/>
          <w:szCs w:val="24"/>
        </w:rPr>
      </w:pPr>
      <w:r>
        <w:rPr>
          <w:rFonts w:ascii="David" w:hAnsi="David" w:cs="David"/>
          <w:color w:val="000000"/>
          <w:sz w:val="24"/>
          <w:szCs w:val="24"/>
          <w:rtl/>
        </w:rPr>
        <w:t>אי הצדק שנגרם לתובעת, אזרחית מדינת ישראל, הוא אי צדק אשר עלול לחרוג מגבולות הספריה העירונית או אף לחרוג מגבולות העיר בני ברק. ואכן</w:t>
      </w:r>
      <w:r w:rsidR="00EB0DDA">
        <w:rPr>
          <w:rFonts w:ascii="David" w:hAnsi="David" w:cs="David" w:hint="cs"/>
          <w:color w:val="000000"/>
          <w:sz w:val="24"/>
          <w:szCs w:val="24"/>
          <w:rtl/>
        </w:rPr>
        <w:t>,</w:t>
      </w:r>
      <w:r>
        <w:rPr>
          <w:rFonts w:ascii="David" w:hAnsi="David" w:cs="David"/>
          <w:color w:val="000000"/>
          <w:sz w:val="24"/>
          <w:szCs w:val="24"/>
          <w:rtl/>
        </w:rPr>
        <w:t xml:space="preserve"> יש האומרים כי </w:t>
      </w:r>
      <w:r>
        <w:rPr>
          <w:rFonts w:ascii="David" w:hAnsi="David" w:cs="David"/>
          <w:b/>
          <w:bCs/>
          <w:color w:val="000000"/>
          <w:sz w:val="24"/>
          <w:szCs w:val="24"/>
          <w:rtl/>
        </w:rPr>
        <w:t>"אי צדק במקום כלשהו הוא איום על הצדק בכל מקום"</w:t>
      </w:r>
      <w:r>
        <w:rPr>
          <w:rFonts w:ascii="David" w:hAnsi="David" w:cs="David"/>
          <w:color w:val="000000"/>
          <w:sz w:val="24"/>
          <w:szCs w:val="24"/>
          <w:rtl/>
        </w:rPr>
        <w:t xml:space="preserve"> (מרטין לותר קינג). לענין זה ניתן להפנות גם אל רע"א 10011/17, </w:t>
      </w:r>
      <w:r>
        <w:rPr>
          <w:rFonts w:ascii="David" w:hAnsi="David" w:cs="David"/>
          <w:color w:val="000000"/>
          <w:sz w:val="24"/>
          <w:szCs w:val="24"/>
          <w:u w:val="single"/>
          <w:rtl/>
        </w:rPr>
        <w:t>מי-טל הנדסה ושירותים בע"מ נ' חאלד סלמאן</w:t>
      </w:r>
      <w:r>
        <w:rPr>
          <w:rFonts w:ascii="David" w:hAnsi="David" w:cs="David"/>
          <w:color w:val="000000"/>
          <w:sz w:val="24"/>
          <w:szCs w:val="24"/>
          <w:rtl/>
        </w:rPr>
        <w:t xml:space="preserve"> (מיום 19/8/2019, הש' נ' הנדל, מ' מזוז, א' שטיין) שם, בסעיף 14 לפסק דינו של כב' הש' מ' מזוז נקבע כך (ההדגשות לא במקור):</w:t>
      </w:r>
    </w:p>
    <w:p w:rsidR="001D708C" w:rsidRDefault="001D708C" w:rsidP="001D708C">
      <w:pPr>
        <w:pStyle w:val="ad"/>
        <w:spacing w:line="360" w:lineRule="auto"/>
        <w:ind w:left="1080"/>
        <w:jc w:val="both"/>
        <w:rPr>
          <w:rFonts w:ascii="David" w:hAnsi="David" w:cs="David"/>
          <w:b/>
          <w:bCs/>
          <w:color w:val="000000"/>
          <w:sz w:val="24"/>
          <w:szCs w:val="24"/>
          <w:rtl/>
        </w:rPr>
      </w:pPr>
      <w:r>
        <w:rPr>
          <w:rFonts w:ascii="David" w:hAnsi="David" w:cs="David"/>
          <w:b/>
          <w:bCs/>
          <w:color w:val="000000"/>
          <w:sz w:val="24"/>
          <w:szCs w:val="24"/>
          <w:rtl/>
        </w:rPr>
        <w:t>"... קיימת אפוא חשיבות ציבורית-ערכית רבה ל</w:t>
      </w:r>
      <w:r>
        <w:rPr>
          <w:rFonts w:ascii="David" w:hAnsi="David" w:cs="David"/>
          <w:b/>
          <w:bCs/>
          <w:color w:val="000000"/>
          <w:sz w:val="24"/>
          <w:szCs w:val="24"/>
          <w:u w:val="single"/>
          <w:rtl/>
        </w:rPr>
        <w:t>שיגור מסר חד-משמעי בגנותה של האפליה</w:t>
      </w:r>
      <w:r>
        <w:rPr>
          <w:rFonts w:ascii="David" w:hAnsi="David" w:cs="David"/>
          <w:b/>
          <w:bCs/>
          <w:color w:val="000000"/>
          <w:sz w:val="24"/>
          <w:szCs w:val="24"/>
          <w:rtl/>
        </w:rPr>
        <w:t xml:space="preserve"> ולהעמדת כלים משפטיים אפקטיביים לרשות נפגעי האפליה לתבוע את עלבונם.... יש לחוק איסור הפליה תכלית ערכית-חינוכית שבאה לידי ביטוי בהצהרה שהפליה בכניסה למקומות ציבוריים ובהספקת מוצרים ושירותים תהא </w:t>
      </w:r>
      <w:r>
        <w:rPr>
          <w:rFonts w:ascii="David" w:hAnsi="David" w:cs="David"/>
          <w:b/>
          <w:bCs/>
          <w:color w:val="000000"/>
          <w:sz w:val="24"/>
          <w:szCs w:val="24"/>
          <w:u w:val="single"/>
          <w:rtl/>
        </w:rPr>
        <w:t>אסורה במדינת ישראל</w:t>
      </w:r>
      <w:r>
        <w:rPr>
          <w:rFonts w:ascii="David" w:hAnsi="David" w:cs="David"/>
          <w:b/>
          <w:bCs/>
          <w:color w:val="000000"/>
          <w:sz w:val="24"/>
          <w:szCs w:val="24"/>
          <w:rtl/>
        </w:rPr>
        <w:t>. להצהרה זו יש חשיבות כלפי המופלה, כלפי המפלה, ו</w:t>
      </w:r>
      <w:r>
        <w:rPr>
          <w:rFonts w:ascii="David" w:hAnsi="David" w:cs="David"/>
          <w:b/>
          <w:bCs/>
          <w:color w:val="000000"/>
          <w:sz w:val="24"/>
          <w:szCs w:val="24"/>
          <w:u w:val="single"/>
          <w:rtl/>
        </w:rPr>
        <w:t>כלפי החברה כולה</w:t>
      </w:r>
      <w:r>
        <w:rPr>
          <w:rFonts w:ascii="David" w:hAnsi="David" w:cs="David"/>
          <w:b/>
          <w:bCs/>
          <w:color w:val="000000"/>
          <w:sz w:val="24"/>
          <w:szCs w:val="24"/>
          <w:rtl/>
        </w:rPr>
        <w:t xml:space="preserve">.... ובכך שולחת מסר חשוב למפלה או למי ששוקל להפלות כי </w:t>
      </w:r>
      <w:r>
        <w:rPr>
          <w:rFonts w:ascii="David" w:hAnsi="David" w:cs="David"/>
          <w:b/>
          <w:bCs/>
          <w:color w:val="000000"/>
          <w:sz w:val="24"/>
          <w:szCs w:val="24"/>
          <w:u w:val="single"/>
          <w:rtl/>
        </w:rPr>
        <w:t>הוא פועל מחוץ לנורמה המקובלת</w:t>
      </w:r>
      <w:r>
        <w:rPr>
          <w:rFonts w:ascii="David" w:hAnsi="David" w:cs="David"/>
          <w:b/>
          <w:bCs/>
          <w:color w:val="000000"/>
          <w:sz w:val="24"/>
          <w:szCs w:val="24"/>
          <w:rtl/>
        </w:rPr>
        <w:t xml:space="preserve">. באותה העת ההצהרה שולחת מסר מנחם למופלה ומאשרת את תחושתו הפנימית כי האופן בו נהגו כלפיו הוא עוול, וכי הוא זכאי לתבוע את עלבונו באמצעות הכלים שהוקנו לו בחוק. הצהרה זו </w:t>
      </w:r>
      <w:r>
        <w:rPr>
          <w:rFonts w:ascii="David" w:hAnsi="David" w:cs="David"/>
          <w:b/>
          <w:bCs/>
          <w:color w:val="000000"/>
          <w:sz w:val="24"/>
          <w:szCs w:val="24"/>
          <w:u w:val="single"/>
          <w:rtl/>
        </w:rPr>
        <w:t>חשובה לא פחות אף עבור החברה הישראלית</w:t>
      </w:r>
      <w:r>
        <w:rPr>
          <w:rFonts w:ascii="David" w:hAnsi="David" w:cs="David"/>
          <w:b/>
          <w:bCs/>
          <w:color w:val="000000"/>
          <w:sz w:val="24"/>
          <w:szCs w:val="24"/>
          <w:rtl/>
        </w:rPr>
        <w:t>, באשר היא מעבירה מסר לפיו הפליה היא תופעה מגונה אשר אין להשלים עמה ויש לפעול למיגורה"</w:t>
      </w:r>
    </w:p>
    <w:p w:rsidR="001D708C" w:rsidRDefault="001D708C" w:rsidP="001D708C">
      <w:pPr>
        <w:pStyle w:val="ad"/>
        <w:spacing w:line="360" w:lineRule="auto"/>
        <w:ind w:left="1080"/>
        <w:jc w:val="both"/>
        <w:rPr>
          <w:rFonts w:ascii="David" w:hAnsi="David" w:cs="David"/>
          <w:color w:val="000000"/>
          <w:sz w:val="24"/>
          <w:szCs w:val="24"/>
          <w:rtl/>
        </w:rPr>
      </w:pPr>
    </w:p>
    <w:p w:rsidR="001D708C" w:rsidRDefault="001D708C" w:rsidP="001D708C">
      <w:pPr>
        <w:pStyle w:val="ad"/>
        <w:spacing w:line="360" w:lineRule="auto"/>
        <w:ind w:left="395"/>
        <w:jc w:val="both"/>
        <w:rPr>
          <w:rFonts w:ascii="David" w:hAnsi="David" w:cs="David"/>
          <w:color w:val="000000"/>
          <w:sz w:val="24"/>
          <w:szCs w:val="24"/>
          <w:rtl/>
        </w:rPr>
      </w:pPr>
      <w:r>
        <w:rPr>
          <w:rFonts w:ascii="David" w:hAnsi="David" w:cs="David"/>
          <w:color w:val="000000"/>
          <w:sz w:val="24"/>
          <w:szCs w:val="24"/>
          <w:rtl/>
        </w:rPr>
        <w:t>בוודאי אין לקבל את ניסיונות הנתבעת להכריז על הספריה כאקס טריטוריה עליה לא חלים חוקי המדינה. על כך ארחיב בפסקה הבאה.</w:t>
      </w:r>
    </w:p>
    <w:p w:rsidR="001D708C" w:rsidRDefault="001D708C" w:rsidP="001D708C">
      <w:pPr>
        <w:pStyle w:val="ad"/>
        <w:spacing w:line="360" w:lineRule="auto"/>
        <w:ind w:left="1080"/>
        <w:jc w:val="both"/>
        <w:rPr>
          <w:rFonts w:ascii="David" w:hAnsi="David" w:cs="David"/>
          <w:color w:val="000000"/>
          <w:sz w:val="24"/>
          <w:szCs w:val="24"/>
          <w:rtl/>
        </w:rPr>
      </w:pPr>
    </w:p>
    <w:p w:rsidR="001D708C" w:rsidRDefault="001D708C" w:rsidP="001D708C">
      <w:pPr>
        <w:pStyle w:val="ad"/>
        <w:numPr>
          <w:ilvl w:val="1"/>
          <w:numId w:val="1"/>
        </w:numPr>
        <w:spacing w:line="360" w:lineRule="auto"/>
        <w:ind w:left="395" w:hanging="567"/>
        <w:jc w:val="both"/>
        <w:rPr>
          <w:rFonts w:ascii="David" w:hAnsi="David" w:cs="David"/>
          <w:color w:val="000000"/>
          <w:sz w:val="24"/>
          <w:szCs w:val="24"/>
          <w:rtl/>
        </w:rPr>
      </w:pPr>
      <w:r>
        <w:rPr>
          <w:rFonts w:ascii="David" w:hAnsi="David" w:cs="David"/>
          <w:color w:val="000000"/>
          <w:sz w:val="24"/>
          <w:szCs w:val="24"/>
          <w:rtl/>
        </w:rPr>
        <w:t>בעניינינו הפלתה התובעת את הנתבעת בשל מעמדה האישי ובשל העובדה שלא נישאה לאיש. ההפליה היא הפרה של הוראות סעיף 3(א) ל</w:t>
      </w:r>
      <w:r>
        <w:rPr>
          <w:rFonts w:ascii="David" w:hAnsi="David" w:cs="David"/>
          <w:color w:val="000000"/>
          <w:sz w:val="24"/>
          <w:szCs w:val="24"/>
          <w:u w:val="single"/>
          <w:rtl/>
        </w:rPr>
        <w:t>חוק איסור הפליה במוצרים ושירותים</w:t>
      </w:r>
      <w:r>
        <w:rPr>
          <w:rFonts w:ascii="David" w:hAnsi="David" w:cs="David"/>
          <w:color w:val="000000"/>
          <w:sz w:val="24"/>
          <w:szCs w:val="24"/>
          <w:rtl/>
        </w:rPr>
        <w:t xml:space="preserve"> הקובע כך (ההדגשות לא במקור):</w:t>
      </w:r>
    </w:p>
    <w:p w:rsidR="001D708C" w:rsidRDefault="001D708C" w:rsidP="001D708C">
      <w:pPr>
        <w:pStyle w:val="ad"/>
        <w:spacing w:line="360" w:lineRule="auto"/>
        <w:ind w:left="1080"/>
        <w:jc w:val="both"/>
        <w:rPr>
          <w:rFonts w:ascii="David" w:hAnsi="David" w:cs="David"/>
          <w:b/>
          <w:bCs/>
          <w:color w:val="000000"/>
          <w:sz w:val="24"/>
          <w:szCs w:val="24"/>
        </w:rPr>
      </w:pPr>
      <w:r>
        <w:rPr>
          <w:rFonts w:ascii="David" w:hAnsi="David" w:cs="David"/>
          <w:b/>
          <w:bCs/>
          <w:color w:val="000000"/>
          <w:sz w:val="24"/>
          <w:szCs w:val="24"/>
          <w:rtl/>
        </w:rPr>
        <w:t xml:space="preserve">"מי שעיסוקו בהספקת מוצר או שירות ציבורי או בהפעלת מקום ציבורי, </w:t>
      </w:r>
      <w:r>
        <w:rPr>
          <w:rFonts w:ascii="David" w:hAnsi="David" w:cs="David"/>
          <w:b/>
          <w:bCs/>
          <w:color w:val="000000"/>
          <w:sz w:val="24"/>
          <w:szCs w:val="24"/>
          <w:u w:val="single"/>
          <w:rtl/>
        </w:rPr>
        <w:t>לא יפלה בהספקת המוצר או השירות הציבור</w:t>
      </w:r>
      <w:r>
        <w:rPr>
          <w:rFonts w:ascii="David" w:hAnsi="David" w:cs="David"/>
          <w:b/>
          <w:bCs/>
          <w:color w:val="000000"/>
          <w:sz w:val="24"/>
          <w:szCs w:val="24"/>
          <w:rtl/>
        </w:rPr>
        <w:t xml:space="preserve">י, במתן הכניסה למקום הציבורי או במתן שירות </w:t>
      </w:r>
      <w:r>
        <w:rPr>
          <w:rFonts w:ascii="David" w:hAnsi="David" w:cs="David"/>
          <w:b/>
          <w:bCs/>
          <w:color w:val="000000"/>
          <w:sz w:val="24"/>
          <w:szCs w:val="24"/>
          <w:rtl/>
        </w:rPr>
        <w:lastRenderedPageBreak/>
        <w:t xml:space="preserve">במקום הציבורי, מחמת גזע, דת או קבוצה דתית, לאום, ארץ מוצא, מין, נטיה מינית, השקפה, השתייכות מפלגתית, גיל, </w:t>
      </w:r>
      <w:r>
        <w:rPr>
          <w:rFonts w:ascii="David" w:hAnsi="David" w:cs="David"/>
          <w:b/>
          <w:bCs/>
          <w:color w:val="000000"/>
          <w:sz w:val="24"/>
          <w:szCs w:val="24"/>
          <w:u w:val="single"/>
          <w:rtl/>
        </w:rPr>
        <w:t>מעמד אישי</w:t>
      </w:r>
      <w:r>
        <w:rPr>
          <w:rFonts w:ascii="David" w:hAnsi="David" w:cs="David"/>
          <w:b/>
          <w:bCs/>
          <w:color w:val="000000"/>
          <w:sz w:val="24"/>
          <w:szCs w:val="24"/>
          <w:rtl/>
        </w:rPr>
        <w:t>, הורות או לבישת מדי כוחות הביטחון וההצלה או ענידת סמליהם"</w:t>
      </w:r>
    </w:p>
    <w:p w:rsidR="001D708C" w:rsidRDefault="001D708C" w:rsidP="001D708C">
      <w:pPr>
        <w:pStyle w:val="ad"/>
        <w:spacing w:line="360" w:lineRule="auto"/>
        <w:ind w:left="395"/>
        <w:jc w:val="both"/>
        <w:rPr>
          <w:rFonts w:ascii="David" w:hAnsi="David" w:cs="David"/>
          <w:color w:val="000000"/>
          <w:sz w:val="24"/>
          <w:szCs w:val="24"/>
        </w:rPr>
      </w:pPr>
    </w:p>
    <w:p w:rsidR="001D708C" w:rsidRDefault="001D708C" w:rsidP="00011BEE">
      <w:pPr>
        <w:pStyle w:val="ad"/>
        <w:spacing w:line="360" w:lineRule="auto"/>
        <w:ind w:left="395"/>
        <w:jc w:val="both"/>
        <w:rPr>
          <w:rFonts w:ascii="David" w:hAnsi="David" w:cs="David"/>
          <w:b/>
          <w:bCs/>
          <w:color w:val="000000"/>
          <w:sz w:val="24"/>
          <w:szCs w:val="24"/>
          <w:rtl/>
        </w:rPr>
      </w:pPr>
      <w:r>
        <w:rPr>
          <w:rFonts w:ascii="David" w:hAnsi="David" w:cs="David"/>
          <w:color w:val="000000"/>
          <w:sz w:val="24"/>
          <w:szCs w:val="24"/>
          <w:rtl/>
        </w:rPr>
        <w:t>להשלמה ייאמר שסעיף 3(ד) ל</w:t>
      </w:r>
      <w:r>
        <w:rPr>
          <w:rFonts w:ascii="David" w:hAnsi="David" w:cs="David"/>
          <w:color w:val="000000"/>
          <w:sz w:val="24"/>
          <w:szCs w:val="24"/>
          <w:u w:val="single"/>
          <w:rtl/>
        </w:rPr>
        <w:t>חוק איסור הפליה במוצרים ושירותים</w:t>
      </w:r>
      <w:r>
        <w:rPr>
          <w:rFonts w:ascii="David" w:hAnsi="David" w:cs="David"/>
          <w:color w:val="000000"/>
          <w:sz w:val="24"/>
          <w:szCs w:val="24"/>
          <w:rtl/>
        </w:rPr>
        <w:t xml:space="preserve"> קובע חריגים של הבחנה מותרת אשר לא תיחשב כהפליה, וזאת למשל </w:t>
      </w:r>
      <w:r>
        <w:rPr>
          <w:rFonts w:ascii="David" w:hAnsi="David" w:cs="David"/>
          <w:b/>
          <w:bCs/>
          <w:color w:val="000000"/>
          <w:sz w:val="24"/>
          <w:szCs w:val="24"/>
          <w:rtl/>
        </w:rPr>
        <w:t>"</w:t>
      </w:r>
      <w:r>
        <w:rPr>
          <w:rFonts w:ascii="Arial" w:hAnsi="Arial" w:cs="David"/>
          <w:b/>
          <w:bCs/>
          <w:color w:val="000000"/>
          <w:sz w:val="21"/>
          <w:szCs w:val="24"/>
          <w:shd w:val="clear" w:color="auto" w:fill="FFFFFF"/>
          <w:rtl/>
        </w:rPr>
        <w:t xml:space="preserve">כאשר הדבר מתחייב מאופיו או ממהותו של המוצר, השירות הציבורי או המקום </w:t>
      </w:r>
      <w:r w:rsidRPr="00011BEE">
        <w:rPr>
          <w:rFonts w:ascii="David" w:hAnsi="David" w:cs="David"/>
          <w:b/>
          <w:bCs/>
          <w:color w:val="000000"/>
          <w:sz w:val="24"/>
          <w:szCs w:val="24"/>
          <w:shd w:val="clear" w:color="auto" w:fill="FFFFFF"/>
          <w:rtl/>
        </w:rPr>
        <w:t>הציבורי</w:t>
      </w:r>
      <w:r w:rsidRPr="00011BEE">
        <w:rPr>
          <w:rFonts w:ascii="David" w:hAnsi="David" w:cs="David"/>
          <w:b/>
          <w:bCs/>
          <w:color w:val="000000"/>
          <w:sz w:val="24"/>
          <w:szCs w:val="24"/>
          <w:shd w:val="clear" w:color="auto" w:fill="FFFFFF"/>
        </w:rPr>
        <w:t>"</w:t>
      </w:r>
      <w:r w:rsidRPr="00011BEE">
        <w:rPr>
          <w:rFonts w:ascii="David" w:hAnsi="David" w:cs="David"/>
          <w:color w:val="000000"/>
          <w:sz w:val="24"/>
          <w:szCs w:val="24"/>
          <w:rtl/>
        </w:rPr>
        <w:t>.</w:t>
      </w:r>
      <w:r>
        <w:rPr>
          <w:rFonts w:ascii="David" w:hAnsi="David" w:cs="David"/>
          <w:color w:val="000000"/>
          <w:sz w:val="24"/>
          <w:szCs w:val="24"/>
          <w:rtl/>
        </w:rPr>
        <w:t xml:space="preserve"> החריג יכול לחול, למשל, במקרים של חדרי שירותים המבחינים בין גברים לנשים, או מקומות רחצה המופרדים בין גברים לנשים, ואם בציבור דתי</w:t>
      </w:r>
      <w:r w:rsidR="00011BEE">
        <w:rPr>
          <w:rFonts w:ascii="David" w:hAnsi="David" w:cs="David" w:hint="cs"/>
          <w:color w:val="000000"/>
          <w:sz w:val="24"/>
          <w:szCs w:val="24"/>
          <w:rtl/>
        </w:rPr>
        <w:t xml:space="preserve"> ענייננו</w:t>
      </w:r>
      <w:r>
        <w:rPr>
          <w:rFonts w:ascii="David" w:hAnsi="David" w:cs="David"/>
          <w:color w:val="000000"/>
          <w:sz w:val="24"/>
          <w:szCs w:val="24"/>
          <w:rtl/>
        </w:rPr>
        <w:t xml:space="preserve"> – הרי גם בבתי כנסת המפרידים בין גברים לנשים וכיו"ב. בעניינינו – ספריה עירונית אינה מחייבת הפליה ואיסור כוחני ובלתי מוסבר וללא קריטריונים של השאלת ספרים לנשים שלא התחתנו.</w:t>
      </w:r>
    </w:p>
    <w:p w:rsidR="001D708C" w:rsidRDefault="001D708C" w:rsidP="001D708C">
      <w:pPr>
        <w:pStyle w:val="ad"/>
        <w:spacing w:line="360" w:lineRule="auto"/>
        <w:ind w:left="395"/>
        <w:jc w:val="both"/>
        <w:rPr>
          <w:rFonts w:ascii="David" w:hAnsi="David" w:cs="David"/>
          <w:color w:val="000000"/>
          <w:sz w:val="24"/>
          <w:szCs w:val="24"/>
          <w:rtl/>
        </w:rPr>
      </w:pPr>
    </w:p>
    <w:p w:rsidR="001D708C" w:rsidRDefault="001D708C" w:rsidP="001D708C">
      <w:pPr>
        <w:pStyle w:val="ad"/>
        <w:numPr>
          <w:ilvl w:val="1"/>
          <w:numId w:val="1"/>
        </w:numPr>
        <w:spacing w:line="360" w:lineRule="auto"/>
        <w:ind w:left="395" w:hanging="567"/>
        <w:jc w:val="both"/>
        <w:rPr>
          <w:rFonts w:ascii="David" w:hAnsi="David" w:cs="David"/>
          <w:color w:val="000000"/>
          <w:sz w:val="24"/>
          <w:szCs w:val="24"/>
        </w:rPr>
      </w:pPr>
      <w:r>
        <w:rPr>
          <w:rFonts w:ascii="David" w:hAnsi="David" w:cs="David"/>
          <w:color w:val="000000"/>
          <w:sz w:val="24"/>
          <w:szCs w:val="24"/>
          <w:rtl/>
        </w:rPr>
        <w:t>הנתבעת ביקשה לנמק את הפלייתה של התובעת בכך שהיא מציינת שהיא "ספריה בעלת אופי חרדי תורני". אין לקבל טענה זו ולענין זה יובאו הדברים הבאים:</w:t>
      </w:r>
    </w:p>
    <w:p w:rsidR="001D708C" w:rsidRDefault="001D708C" w:rsidP="001D708C">
      <w:pPr>
        <w:pStyle w:val="ad"/>
        <w:spacing w:line="360" w:lineRule="auto"/>
        <w:ind w:left="395"/>
        <w:jc w:val="both"/>
        <w:rPr>
          <w:rFonts w:ascii="David" w:hAnsi="David" w:cs="David"/>
          <w:color w:val="000000"/>
          <w:sz w:val="24"/>
          <w:szCs w:val="24"/>
        </w:rPr>
      </w:pPr>
    </w:p>
    <w:p w:rsidR="001D708C" w:rsidRDefault="001D708C" w:rsidP="001D708C">
      <w:pPr>
        <w:pStyle w:val="ad"/>
        <w:numPr>
          <w:ilvl w:val="0"/>
          <w:numId w:val="12"/>
        </w:numPr>
        <w:spacing w:line="360" w:lineRule="auto"/>
        <w:jc w:val="both"/>
        <w:rPr>
          <w:rFonts w:ascii="David" w:hAnsi="David" w:cs="David"/>
          <w:color w:val="000000"/>
          <w:sz w:val="24"/>
          <w:szCs w:val="24"/>
          <w:rtl/>
        </w:rPr>
      </w:pPr>
      <w:r>
        <w:rPr>
          <w:rFonts w:ascii="David" w:hAnsi="David" w:cs="David"/>
          <w:b/>
          <w:bCs/>
          <w:color w:val="000000"/>
          <w:sz w:val="24"/>
          <w:szCs w:val="24"/>
          <w:u w:val="single"/>
          <w:rtl/>
        </w:rPr>
        <w:t>נימוק ראשון מארבעה לכך שאין לקבל הטענה לפיה הספריה חרדית כצידוק להפליה ולפגיעה</w:t>
      </w:r>
    </w:p>
    <w:p w:rsidR="001D708C" w:rsidRDefault="001D708C" w:rsidP="001D708C">
      <w:pPr>
        <w:pStyle w:val="ad"/>
        <w:spacing w:line="360" w:lineRule="auto"/>
        <w:ind w:left="755"/>
        <w:jc w:val="both"/>
        <w:rPr>
          <w:rFonts w:ascii="David" w:hAnsi="David" w:cs="David"/>
          <w:color w:val="000000"/>
          <w:sz w:val="24"/>
          <w:szCs w:val="24"/>
        </w:rPr>
      </w:pPr>
      <w:r>
        <w:rPr>
          <w:rFonts w:ascii="David" w:hAnsi="David" w:cs="David"/>
          <w:color w:val="000000"/>
          <w:sz w:val="24"/>
          <w:szCs w:val="24"/>
          <w:rtl/>
        </w:rPr>
        <w:t>אפילו היתה טענת הנתבעת נכונה הרי עדיין הספריה, כמו הנתבעת וכן כמו התובעת – נמצאים במדינת ישראל. כולן, כמו כולנו, כפופים לחוק – וממילא לכולן, כמו לכולנו, אסור לנהוג בהפליה.</w:t>
      </w:r>
    </w:p>
    <w:p w:rsidR="001D708C" w:rsidRDefault="001D708C" w:rsidP="001D708C">
      <w:pPr>
        <w:pStyle w:val="ad"/>
        <w:spacing w:line="360" w:lineRule="auto"/>
        <w:ind w:left="755"/>
        <w:jc w:val="both"/>
        <w:rPr>
          <w:rFonts w:ascii="David" w:hAnsi="David" w:cs="David"/>
          <w:color w:val="000000"/>
          <w:sz w:val="24"/>
          <w:szCs w:val="24"/>
        </w:rPr>
      </w:pPr>
    </w:p>
    <w:p w:rsidR="001D708C" w:rsidRDefault="001D708C" w:rsidP="001D708C">
      <w:pPr>
        <w:pStyle w:val="ad"/>
        <w:numPr>
          <w:ilvl w:val="0"/>
          <w:numId w:val="12"/>
        </w:numPr>
        <w:spacing w:line="360" w:lineRule="auto"/>
        <w:jc w:val="both"/>
        <w:rPr>
          <w:rFonts w:ascii="David" w:hAnsi="David" w:cs="David"/>
          <w:color w:val="000000"/>
          <w:sz w:val="24"/>
          <w:szCs w:val="24"/>
        </w:rPr>
      </w:pPr>
      <w:r>
        <w:rPr>
          <w:rFonts w:ascii="David" w:hAnsi="David" w:cs="David"/>
          <w:b/>
          <w:bCs/>
          <w:color w:val="000000"/>
          <w:sz w:val="24"/>
          <w:szCs w:val="24"/>
          <w:u w:val="single"/>
          <w:rtl/>
        </w:rPr>
        <w:t xml:space="preserve">נימוק שני מארבעה לכך שאין לקבל הטענה לפיה הספריה חרדית כצידוק להפליה ולפגיעה </w:t>
      </w:r>
    </w:p>
    <w:p w:rsidR="001D708C" w:rsidRDefault="001D708C" w:rsidP="001D708C">
      <w:pPr>
        <w:pStyle w:val="ad"/>
        <w:spacing w:line="360" w:lineRule="auto"/>
        <w:ind w:left="755"/>
        <w:jc w:val="both"/>
        <w:rPr>
          <w:rFonts w:ascii="David" w:hAnsi="David" w:cs="David"/>
          <w:color w:val="000000"/>
          <w:sz w:val="24"/>
          <w:szCs w:val="24"/>
        </w:rPr>
      </w:pPr>
      <w:r>
        <w:rPr>
          <w:rFonts w:ascii="David" w:hAnsi="David" w:cs="David"/>
          <w:color w:val="000000"/>
          <w:sz w:val="24"/>
          <w:szCs w:val="24"/>
          <w:rtl/>
        </w:rPr>
        <w:t xml:space="preserve">לא מצאתי כל ראיה לכך שהספריה העירונית היחידה בעיר בני ברק, היא ספריה ממנה יש להדיר מי שאינו חרדי. האמירה שנאמרה בשכנוע רב – </w:t>
      </w:r>
      <w:r>
        <w:rPr>
          <w:rFonts w:ascii="David" w:hAnsi="David" w:cs="David"/>
          <w:color w:val="000000"/>
          <w:sz w:val="24"/>
          <w:szCs w:val="24"/>
          <w:u w:val="single"/>
          <w:rtl/>
        </w:rPr>
        <w:t>חסרת כל בסיס</w:t>
      </w:r>
      <w:r>
        <w:rPr>
          <w:rFonts w:ascii="David" w:hAnsi="David" w:cs="David"/>
          <w:color w:val="000000"/>
          <w:sz w:val="24"/>
          <w:szCs w:val="24"/>
          <w:rtl/>
        </w:rPr>
        <w:t xml:space="preserve"> וחסרת כל הוכחה.</w:t>
      </w:r>
    </w:p>
    <w:p w:rsidR="001D708C" w:rsidRDefault="001D708C" w:rsidP="001D708C">
      <w:pPr>
        <w:pStyle w:val="ad"/>
        <w:spacing w:line="360" w:lineRule="auto"/>
        <w:ind w:left="755"/>
        <w:jc w:val="both"/>
        <w:rPr>
          <w:rFonts w:ascii="David" w:hAnsi="David" w:cs="David"/>
          <w:color w:val="000000"/>
          <w:sz w:val="24"/>
          <w:szCs w:val="24"/>
        </w:rPr>
      </w:pPr>
    </w:p>
    <w:p w:rsidR="001D708C" w:rsidRDefault="001D708C" w:rsidP="001D708C">
      <w:pPr>
        <w:pStyle w:val="ad"/>
        <w:numPr>
          <w:ilvl w:val="0"/>
          <w:numId w:val="12"/>
        </w:numPr>
        <w:spacing w:line="360" w:lineRule="auto"/>
        <w:jc w:val="both"/>
        <w:rPr>
          <w:rFonts w:ascii="David" w:hAnsi="David" w:cs="David"/>
          <w:color w:val="000000"/>
          <w:sz w:val="24"/>
          <w:szCs w:val="24"/>
        </w:rPr>
      </w:pPr>
      <w:r>
        <w:rPr>
          <w:rFonts w:ascii="David" w:hAnsi="David" w:cs="David"/>
          <w:b/>
          <w:bCs/>
          <w:color w:val="000000"/>
          <w:sz w:val="24"/>
          <w:szCs w:val="24"/>
          <w:u w:val="single"/>
          <w:rtl/>
        </w:rPr>
        <w:t>נימוק שלישי מארבעה לכך שאין לקבל הטענה לפיה הספריה חרדית כצידוק להפליה ולפגיעה</w:t>
      </w:r>
    </w:p>
    <w:p w:rsidR="001D708C" w:rsidRDefault="001D708C" w:rsidP="00011BEE">
      <w:pPr>
        <w:pStyle w:val="ad"/>
        <w:spacing w:line="360" w:lineRule="auto"/>
        <w:ind w:left="755"/>
        <w:jc w:val="both"/>
        <w:rPr>
          <w:rFonts w:ascii="David" w:hAnsi="David" w:cs="David"/>
          <w:color w:val="000000"/>
          <w:sz w:val="24"/>
          <w:szCs w:val="24"/>
        </w:rPr>
      </w:pPr>
      <w:r>
        <w:rPr>
          <w:rFonts w:ascii="David" w:hAnsi="David" w:cs="David"/>
          <w:color w:val="000000"/>
          <w:sz w:val="24"/>
          <w:szCs w:val="24"/>
          <w:rtl/>
        </w:rPr>
        <w:t xml:space="preserve">אפילו היתה אמת בטענת הנתבעת, הרי עדיין הגדרתו של מקום כ"מקום דתי" לא מתירה הפליה ולא מתירה הפרת הוראות </w:t>
      </w:r>
      <w:r>
        <w:rPr>
          <w:rFonts w:ascii="David" w:hAnsi="David" w:cs="David"/>
          <w:color w:val="000000"/>
          <w:sz w:val="24"/>
          <w:szCs w:val="24"/>
          <w:u w:val="single"/>
          <w:rtl/>
        </w:rPr>
        <w:t>חוק איסור הפליה במוצרים ובשירותים</w:t>
      </w:r>
      <w:r>
        <w:rPr>
          <w:rFonts w:ascii="David" w:hAnsi="David" w:cs="David"/>
          <w:color w:val="000000"/>
          <w:sz w:val="24"/>
          <w:szCs w:val="24"/>
          <w:rtl/>
        </w:rPr>
        <w:t>. לענין זה ר' למשל ת</w:t>
      </w:r>
      <w:r w:rsidR="00011BEE">
        <w:rPr>
          <w:rFonts w:ascii="David" w:hAnsi="David" w:cs="David" w:hint="cs"/>
          <w:color w:val="000000"/>
          <w:sz w:val="24"/>
          <w:szCs w:val="24"/>
          <w:rtl/>
        </w:rPr>
        <w:t>"</w:t>
      </w:r>
      <w:r>
        <w:rPr>
          <w:rFonts w:ascii="David" w:hAnsi="David" w:cs="David"/>
          <w:color w:val="000000"/>
          <w:sz w:val="24"/>
          <w:szCs w:val="24"/>
          <w:rtl/>
        </w:rPr>
        <w:t xml:space="preserve">צ (מחוזי מרכז) 40693-11-16‏, </w:t>
      </w:r>
      <w:r>
        <w:rPr>
          <w:rFonts w:ascii="David" w:hAnsi="David" w:cs="David"/>
          <w:color w:val="000000"/>
          <w:sz w:val="24"/>
          <w:szCs w:val="24"/>
          <w:u w:val="single"/>
          <w:rtl/>
        </w:rPr>
        <w:t>אריק אברוקין נ' חברת קדישא (גחש"א) פתח תקווה</w:t>
      </w:r>
      <w:r>
        <w:rPr>
          <w:rFonts w:ascii="David" w:hAnsi="David" w:cs="David"/>
          <w:color w:val="000000"/>
          <w:sz w:val="24"/>
          <w:szCs w:val="24"/>
          <w:rtl/>
        </w:rPr>
        <w:t xml:space="preserve"> (מיום 20/8/2024, סג' נש' השופטת ח' קיציס) שם נקבע כך – "... </w:t>
      </w:r>
      <w:r>
        <w:rPr>
          <w:rFonts w:ascii="David" w:hAnsi="David" w:cs="David"/>
          <w:b/>
          <w:bCs/>
          <w:color w:val="000000"/>
          <w:sz w:val="24"/>
          <w:szCs w:val="24"/>
          <w:rtl/>
        </w:rPr>
        <w:t xml:space="preserve">המחוקק </w:t>
      </w:r>
      <w:r>
        <w:rPr>
          <w:rFonts w:ascii="David" w:hAnsi="David" w:cs="David"/>
          <w:b/>
          <w:bCs/>
          <w:color w:val="000000"/>
          <w:sz w:val="24"/>
          <w:szCs w:val="24"/>
          <w:u w:val="single"/>
          <w:rtl/>
        </w:rPr>
        <w:t>לא מצא לנכון לסייג ולקבוע כי מקום בעל אופי דתי לא יחשב למקום ציבורי</w:t>
      </w:r>
      <w:r>
        <w:rPr>
          <w:rFonts w:ascii="David" w:hAnsi="David" w:cs="David"/>
          <w:b/>
          <w:bCs/>
          <w:color w:val="000000"/>
          <w:sz w:val="24"/>
          <w:szCs w:val="24"/>
          <w:rtl/>
        </w:rPr>
        <w:t xml:space="preserve"> וחזקה שאם חפץ להחריג מקומות בעלי אופי דתי, היה עושה זאת בצורה ברורה ומפורשת. בהתאם לחוק איסור הפליה, </w:t>
      </w:r>
      <w:r>
        <w:rPr>
          <w:rFonts w:ascii="David" w:hAnsi="David" w:cs="David"/>
          <w:b/>
          <w:bCs/>
          <w:color w:val="000000"/>
          <w:sz w:val="24"/>
          <w:szCs w:val="24"/>
          <w:u w:val="single"/>
          <w:rtl/>
        </w:rPr>
        <w:t xml:space="preserve">במקום שאינו ציבורי אסורה הפליה </w:t>
      </w:r>
      <w:r>
        <w:rPr>
          <w:rFonts w:ascii="David" w:hAnsi="David" w:cs="David"/>
          <w:b/>
          <w:bCs/>
          <w:color w:val="000000"/>
          <w:sz w:val="24"/>
          <w:szCs w:val="24"/>
          <w:rtl/>
        </w:rPr>
        <w:t>בעת מתן "שירות ציבורי" ואילו במקום ציבורי אסורה הפליה בעת מתן שירות בין אם אותו שירות הוא "שירות ציבורי" בהתאם לרשימה שבחוק, ובין אם זהו שירות אחר"</w:t>
      </w:r>
      <w:r>
        <w:rPr>
          <w:rFonts w:ascii="David" w:hAnsi="David" w:cs="David"/>
          <w:color w:val="000000"/>
          <w:sz w:val="24"/>
          <w:szCs w:val="24"/>
          <w:rtl/>
        </w:rPr>
        <w:t>.</w:t>
      </w:r>
    </w:p>
    <w:p w:rsidR="00011BEE" w:rsidRDefault="00011BEE" w:rsidP="00011BEE">
      <w:pPr>
        <w:pStyle w:val="ad"/>
        <w:spacing w:line="360" w:lineRule="auto"/>
        <w:ind w:left="755"/>
        <w:jc w:val="both"/>
        <w:rPr>
          <w:rFonts w:ascii="David" w:hAnsi="David" w:cs="David"/>
          <w:color w:val="000000"/>
          <w:sz w:val="24"/>
          <w:szCs w:val="24"/>
          <w:rtl/>
        </w:rPr>
      </w:pPr>
    </w:p>
    <w:p w:rsidR="00011BEE" w:rsidRPr="00011BEE" w:rsidRDefault="00011BEE" w:rsidP="00011BEE">
      <w:pPr>
        <w:pStyle w:val="ad"/>
        <w:spacing w:line="360" w:lineRule="auto"/>
        <w:ind w:left="755"/>
        <w:jc w:val="both"/>
        <w:rPr>
          <w:rFonts w:ascii="David" w:hAnsi="David" w:cs="David"/>
          <w:color w:val="000000"/>
          <w:sz w:val="24"/>
          <w:szCs w:val="24"/>
        </w:rPr>
      </w:pPr>
    </w:p>
    <w:p w:rsidR="001D708C" w:rsidRDefault="001D708C" w:rsidP="001D708C">
      <w:pPr>
        <w:pStyle w:val="ad"/>
        <w:numPr>
          <w:ilvl w:val="0"/>
          <w:numId w:val="12"/>
        </w:numPr>
        <w:spacing w:line="360" w:lineRule="auto"/>
        <w:jc w:val="both"/>
        <w:rPr>
          <w:rFonts w:ascii="David" w:hAnsi="David" w:cs="David"/>
          <w:color w:val="000000"/>
          <w:sz w:val="24"/>
          <w:szCs w:val="24"/>
        </w:rPr>
      </w:pPr>
      <w:r>
        <w:rPr>
          <w:rFonts w:ascii="David" w:hAnsi="David" w:cs="David"/>
          <w:b/>
          <w:bCs/>
          <w:color w:val="000000"/>
          <w:sz w:val="24"/>
          <w:szCs w:val="24"/>
          <w:u w:val="single"/>
          <w:rtl/>
        </w:rPr>
        <w:lastRenderedPageBreak/>
        <w:t>נימוק רביעי מארבעה לכך שאין לקבל הטענה לפיה הספריה חרדית כצידוק להפליה ולפגיעה</w:t>
      </w:r>
    </w:p>
    <w:p w:rsidR="001D708C" w:rsidRDefault="001D708C" w:rsidP="001D708C">
      <w:pPr>
        <w:pStyle w:val="ad"/>
        <w:spacing w:line="360" w:lineRule="auto"/>
        <w:ind w:left="755"/>
        <w:jc w:val="both"/>
        <w:rPr>
          <w:rFonts w:ascii="David" w:hAnsi="David" w:cs="David"/>
          <w:color w:val="000000"/>
          <w:sz w:val="24"/>
          <w:szCs w:val="24"/>
        </w:rPr>
      </w:pPr>
      <w:r>
        <w:rPr>
          <w:rFonts w:ascii="David" w:hAnsi="David" w:cs="David"/>
          <w:color w:val="000000"/>
          <w:sz w:val="24"/>
          <w:szCs w:val="24"/>
          <w:rtl/>
        </w:rPr>
        <w:t>הנתבעת מבקשת להפלות בין נשים נשואות לשאינן נשואות באצטלא דתית ובכסות המבקשת להידמות למעין שמירת מצוות. כאן המקום להזכיר שבית המשפט דחה ניסיון להפלות בין נשים נשואות לשאינן נשואות – אפילו באשר לנושאים משמעותיים של הפריה מלאכותית. בית המשפט גינה פעול</w:t>
      </w:r>
      <w:r w:rsidR="00A673F7">
        <w:rPr>
          <w:rFonts w:ascii="David" w:hAnsi="David" w:cs="David" w:hint="cs"/>
          <w:color w:val="000000"/>
          <w:sz w:val="24"/>
          <w:szCs w:val="24"/>
          <w:rtl/>
        </w:rPr>
        <w:t>ת</w:t>
      </w:r>
      <w:r>
        <w:rPr>
          <w:rFonts w:ascii="David" w:hAnsi="David" w:cs="David"/>
          <w:color w:val="000000"/>
          <w:sz w:val="24"/>
          <w:szCs w:val="24"/>
          <w:rtl/>
        </w:rPr>
        <w:t xml:space="preserve"> הפליה של בית חולים המגדיר עצמו כמקפיד על מצוות התורה, הפליה בטיפולי הפריה מלאכותית בין נשים נשואות לבין נשים שאינן נשואות.</w:t>
      </w:r>
    </w:p>
    <w:p w:rsidR="001D708C" w:rsidRDefault="001D708C" w:rsidP="001D708C">
      <w:pPr>
        <w:pStyle w:val="ad"/>
        <w:spacing w:line="360" w:lineRule="auto"/>
        <w:ind w:left="755"/>
        <w:jc w:val="both"/>
        <w:rPr>
          <w:rFonts w:ascii="David" w:hAnsi="David" w:cs="David"/>
          <w:color w:val="000000"/>
          <w:sz w:val="24"/>
          <w:szCs w:val="24"/>
          <w:rtl/>
        </w:rPr>
      </w:pPr>
      <w:r>
        <w:rPr>
          <w:rFonts w:ascii="David" w:hAnsi="David" w:cs="David"/>
          <w:color w:val="000000"/>
          <w:sz w:val="24"/>
          <w:szCs w:val="24"/>
          <w:rtl/>
        </w:rPr>
        <w:t xml:space="preserve">לענין זה ר' רע"א 9128/17, </w:t>
      </w:r>
      <w:r>
        <w:rPr>
          <w:rFonts w:ascii="David" w:hAnsi="David" w:cs="David"/>
          <w:color w:val="000000"/>
          <w:sz w:val="24"/>
          <w:szCs w:val="24"/>
          <w:u w:val="single"/>
          <w:rtl/>
        </w:rPr>
        <w:t>מרכז רפואי צאנז בית חולים לניאדו נ' פלונית</w:t>
      </w:r>
      <w:r>
        <w:rPr>
          <w:rFonts w:ascii="David" w:hAnsi="David" w:cs="David"/>
          <w:color w:val="000000"/>
          <w:sz w:val="24"/>
          <w:szCs w:val="24"/>
          <w:rtl/>
        </w:rPr>
        <w:t xml:space="preserve"> (מיום 18/7/2022, הש' י' עמית, השופטת ע' ברון, הש' (בדימוס) ג' קרא). במקרה זה לא חלו הוראות </w:t>
      </w:r>
      <w:r>
        <w:rPr>
          <w:rFonts w:ascii="David" w:hAnsi="David" w:cs="David"/>
          <w:color w:val="000000"/>
          <w:sz w:val="24"/>
          <w:szCs w:val="24"/>
          <w:u w:val="single"/>
          <w:rtl/>
        </w:rPr>
        <w:t>חוק איסור הפליה במוצרים ובשירותים</w:t>
      </w:r>
      <w:r>
        <w:rPr>
          <w:rFonts w:ascii="David" w:hAnsi="David" w:cs="David"/>
          <w:color w:val="000000"/>
          <w:sz w:val="24"/>
          <w:szCs w:val="24"/>
          <w:rtl/>
        </w:rPr>
        <w:t xml:space="preserve"> האוסרות הפליה על מעמד אישי – אלא חלו הוראות </w:t>
      </w:r>
      <w:r>
        <w:rPr>
          <w:rFonts w:ascii="David" w:hAnsi="David" w:cs="David"/>
          <w:color w:val="000000"/>
          <w:sz w:val="24"/>
          <w:szCs w:val="24"/>
          <w:u w:val="single"/>
          <w:rtl/>
        </w:rPr>
        <w:t>חוק זכויות החולה</w:t>
      </w:r>
      <w:r>
        <w:rPr>
          <w:rFonts w:ascii="David" w:hAnsi="David" w:cs="David"/>
          <w:color w:val="000000"/>
          <w:sz w:val="24"/>
          <w:szCs w:val="24"/>
          <w:rtl/>
        </w:rPr>
        <w:t xml:space="preserve"> תשנ"ו – 1996, ולענין זה נקבע אפילו באשר להפליה הנובעת מההלכה, כך - "</w:t>
      </w:r>
      <w:r>
        <w:rPr>
          <w:rFonts w:ascii="David" w:hAnsi="David" w:cs="David"/>
          <w:b/>
          <w:bCs/>
          <w:color w:val="000000"/>
          <w:spacing w:val="10"/>
          <w:sz w:val="24"/>
          <w:szCs w:val="24"/>
          <w:rtl/>
        </w:rPr>
        <w:t>המניע להפליה הוא הלכתי, אך כאמור, הוא עומד בניגוד חזיתי לסעיף 4 לחוק זכויות החולה. כגוף דו-מהותי, בית החולים אינו רשאי למנוע שירות על בסיס התנגדות לאורח החיים והמעמד האישי של מבקש השירו</w:t>
      </w:r>
      <w:r>
        <w:rPr>
          <w:rFonts w:ascii="David" w:hAnsi="David" w:cs="David"/>
          <w:b/>
          <w:bCs/>
          <w:color w:val="000000"/>
          <w:sz w:val="24"/>
          <w:szCs w:val="24"/>
          <w:rtl/>
        </w:rPr>
        <w:t>ת"</w:t>
      </w:r>
      <w:r>
        <w:rPr>
          <w:rFonts w:ascii="David" w:hAnsi="David" w:cs="David"/>
          <w:color w:val="000000"/>
          <w:sz w:val="24"/>
          <w:szCs w:val="24"/>
          <w:rtl/>
        </w:rPr>
        <w:t>.</w:t>
      </w:r>
    </w:p>
    <w:p w:rsidR="001D708C" w:rsidRDefault="001D708C" w:rsidP="001D708C">
      <w:pPr>
        <w:pStyle w:val="ad"/>
        <w:spacing w:line="360" w:lineRule="auto"/>
        <w:ind w:left="395"/>
        <w:jc w:val="both"/>
        <w:rPr>
          <w:rFonts w:ascii="David" w:hAnsi="David" w:cs="David"/>
          <w:color w:val="000000"/>
          <w:sz w:val="24"/>
          <w:szCs w:val="24"/>
          <w:u w:val="single"/>
          <w:rtl/>
        </w:rPr>
      </w:pPr>
    </w:p>
    <w:p w:rsidR="001D708C" w:rsidRDefault="001D708C" w:rsidP="001D708C">
      <w:pPr>
        <w:pStyle w:val="ad"/>
        <w:numPr>
          <w:ilvl w:val="0"/>
          <w:numId w:val="1"/>
        </w:numPr>
        <w:spacing w:line="360" w:lineRule="auto"/>
        <w:ind w:left="-172" w:hanging="284"/>
        <w:jc w:val="both"/>
        <w:rPr>
          <w:rFonts w:ascii="David" w:hAnsi="David" w:cs="David"/>
          <w:color w:val="000000"/>
          <w:sz w:val="24"/>
          <w:szCs w:val="24"/>
        </w:rPr>
      </w:pPr>
      <w:r>
        <w:rPr>
          <w:rFonts w:ascii="David" w:hAnsi="David" w:cs="David"/>
          <w:b/>
          <w:bCs/>
          <w:color w:val="000000"/>
          <w:sz w:val="24"/>
          <w:szCs w:val="24"/>
          <w:u w:val="single"/>
          <w:rtl/>
        </w:rPr>
        <w:t>דיון בשאלה רביעית מארבע –  הסעד לו זכאית התובעת; וכן, האם יש לקבוע לתובעת סעד של פיצוי בגין עגמת נפש וזאת בנוסף לסעדי החוק לאיסור הפליה במוצרים ושירותים</w:t>
      </w:r>
    </w:p>
    <w:p w:rsidR="001D708C" w:rsidRDefault="001D708C" w:rsidP="001D708C">
      <w:pPr>
        <w:pStyle w:val="ad"/>
        <w:spacing w:line="360" w:lineRule="auto"/>
        <w:ind w:left="536"/>
        <w:jc w:val="both"/>
        <w:rPr>
          <w:rFonts w:ascii="David" w:hAnsi="David" w:cs="David"/>
          <w:color w:val="000000"/>
          <w:sz w:val="24"/>
          <w:szCs w:val="24"/>
        </w:rPr>
      </w:pPr>
    </w:p>
    <w:p w:rsidR="001D708C" w:rsidRDefault="001D708C" w:rsidP="001D708C">
      <w:pPr>
        <w:pStyle w:val="ad"/>
        <w:numPr>
          <w:ilvl w:val="1"/>
          <w:numId w:val="1"/>
        </w:numPr>
        <w:spacing w:line="360" w:lineRule="auto"/>
        <w:ind w:left="536" w:hanging="708"/>
        <w:jc w:val="both"/>
        <w:rPr>
          <w:rFonts w:ascii="David" w:hAnsi="David" w:cs="David"/>
          <w:color w:val="000000"/>
          <w:sz w:val="24"/>
          <w:szCs w:val="24"/>
        </w:rPr>
      </w:pPr>
      <w:r>
        <w:rPr>
          <w:rFonts w:ascii="David" w:hAnsi="David" w:cs="David"/>
          <w:b/>
          <w:bCs/>
          <w:color w:val="000000"/>
          <w:sz w:val="24"/>
          <w:szCs w:val="24"/>
          <w:u w:val="single"/>
          <w:rtl/>
        </w:rPr>
        <w:t>פיצוי מכח החוק לאיסור הפליה במוצרים ושירותים</w:t>
      </w:r>
    </w:p>
    <w:p w:rsidR="001D708C" w:rsidRDefault="001D708C" w:rsidP="0039752E">
      <w:pPr>
        <w:pStyle w:val="ad"/>
        <w:numPr>
          <w:ilvl w:val="0"/>
          <w:numId w:val="13"/>
        </w:numPr>
        <w:spacing w:line="360" w:lineRule="auto"/>
        <w:jc w:val="both"/>
        <w:rPr>
          <w:rFonts w:ascii="David" w:hAnsi="David" w:cs="David"/>
          <w:color w:val="000000"/>
          <w:sz w:val="24"/>
          <w:szCs w:val="24"/>
        </w:rPr>
      </w:pPr>
      <w:r>
        <w:rPr>
          <w:rFonts w:ascii="David" w:hAnsi="David" w:cs="David"/>
          <w:color w:val="000000"/>
          <w:sz w:val="24"/>
          <w:szCs w:val="24"/>
          <w:rtl/>
        </w:rPr>
        <w:t xml:space="preserve">סעיף 5(ב) לחוק איסור הפליה במוצרים ובשירותים קובע כי </w:t>
      </w:r>
      <w:r>
        <w:rPr>
          <w:rFonts w:ascii="David" w:hAnsi="David" w:cs="David"/>
          <w:b/>
          <w:bCs/>
          <w:color w:val="000000"/>
          <w:sz w:val="24"/>
          <w:szCs w:val="24"/>
          <w:rtl/>
        </w:rPr>
        <w:t>"בית המשפט רשאי לפסוק בשל עוולה לפי חוק זה פיצוי שלא יעלה על 50,000 ש"ח, בלא הוכחת נזק... "</w:t>
      </w:r>
      <w:r>
        <w:rPr>
          <w:rFonts w:ascii="David" w:hAnsi="David" w:cs="David"/>
          <w:color w:val="000000"/>
          <w:sz w:val="24"/>
          <w:szCs w:val="24"/>
          <w:rtl/>
        </w:rPr>
        <w:t>. הסך של 50,000 ₪ שנקבע כתקרת פיצוי ללא הוכחת נזק, מותאם מידי חודש בהתאם לשינוי במדד המחירים לצרכן – כאשר מדד הבסיס הוא מדד ח</w:t>
      </w:r>
      <w:r w:rsidR="00D31D44">
        <w:rPr>
          <w:rFonts w:ascii="David" w:hAnsi="David" w:cs="David"/>
          <w:color w:val="000000"/>
          <w:sz w:val="24"/>
          <w:szCs w:val="24"/>
          <w:rtl/>
        </w:rPr>
        <w:t xml:space="preserve">ודש אוקטובר 2020. חישבה </w:t>
      </w:r>
      <w:r w:rsidR="00D31D44">
        <w:rPr>
          <w:rFonts w:ascii="David" w:hAnsi="David" w:cs="David" w:hint="cs"/>
          <w:color w:val="000000"/>
          <w:sz w:val="24"/>
          <w:szCs w:val="24"/>
          <w:rtl/>
        </w:rPr>
        <w:t>ס</w:t>
      </w:r>
      <w:r>
        <w:rPr>
          <w:rFonts w:ascii="David" w:hAnsi="David" w:cs="David"/>
          <w:color w:val="000000"/>
          <w:sz w:val="24"/>
          <w:szCs w:val="24"/>
          <w:rtl/>
        </w:rPr>
        <w:t>כום זה ומצאה שנכון למועד הגשת התביעה, עמדה</w:t>
      </w:r>
      <w:r w:rsidR="00D31D44">
        <w:rPr>
          <w:rFonts w:ascii="David" w:hAnsi="David" w:cs="David" w:hint="cs"/>
          <w:color w:val="000000"/>
          <w:sz w:val="24"/>
          <w:szCs w:val="24"/>
          <w:rtl/>
        </w:rPr>
        <w:t xml:space="preserve"> לטעמה</w:t>
      </w:r>
      <w:r>
        <w:rPr>
          <w:rFonts w:ascii="David" w:hAnsi="David" w:cs="David"/>
          <w:color w:val="000000"/>
          <w:sz w:val="24"/>
          <w:szCs w:val="24"/>
          <w:rtl/>
        </w:rPr>
        <w:t xml:space="preserve"> תקרת הפיצוי ללא הוכחת נזק על הסך של 65,000 ₪.</w:t>
      </w:r>
      <w:r w:rsidR="00D31D44">
        <w:rPr>
          <w:rFonts w:ascii="David" w:hAnsi="David" w:cs="David" w:hint="cs"/>
          <w:color w:val="000000"/>
          <w:sz w:val="24"/>
          <w:szCs w:val="24"/>
          <w:rtl/>
        </w:rPr>
        <w:t xml:space="preserve"> </w:t>
      </w:r>
    </w:p>
    <w:p w:rsidR="001D708C" w:rsidRDefault="001D708C" w:rsidP="001D708C">
      <w:pPr>
        <w:pStyle w:val="ad"/>
        <w:spacing w:line="360" w:lineRule="auto"/>
        <w:ind w:left="896"/>
        <w:jc w:val="both"/>
        <w:rPr>
          <w:rFonts w:ascii="David" w:hAnsi="David" w:cs="David"/>
          <w:color w:val="000000"/>
          <w:sz w:val="24"/>
          <w:szCs w:val="24"/>
        </w:rPr>
      </w:pPr>
    </w:p>
    <w:p w:rsidR="001D708C" w:rsidRDefault="001D708C" w:rsidP="001D708C">
      <w:pPr>
        <w:pStyle w:val="ad"/>
        <w:numPr>
          <w:ilvl w:val="0"/>
          <w:numId w:val="13"/>
        </w:numPr>
        <w:spacing w:after="0" w:line="330" w:lineRule="atLeast"/>
        <w:jc w:val="both"/>
        <w:rPr>
          <w:rFonts w:ascii="Calibri" w:hAnsi="Calibri" w:cs="Calibri"/>
          <w:color w:val="000000"/>
          <w:sz w:val="24"/>
          <w:szCs w:val="24"/>
        </w:rPr>
      </w:pPr>
      <w:r>
        <w:rPr>
          <w:rFonts w:ascii="David" w:hAnsi="David" w:cs="David"/>
          <w:color w:val="000000"/>
          <w:sz w:val="24"/>
          <w:szCs w:val="24"/>
          <w:rtl/>
        </w:rPr>
        <w:t>להרחבה על כך שהוראות החוק כוללות </w:t>
      </w:r>
      <w:r>
        <w:rPr>
          <w:rFonts w:ascii="David" w:hAnsi="David" w:cs="David"/>
          <w:b/>
          <w:bCs/>
          <w:color w:val="000000"/>
          <w:sz w:val="24"/>
          <w:szCs w:val="24"/>
          <w:rtl/>
        </w:rPr>
        <w:t>"מנגנון ייחודי לזיהוי הנזק ולפיצוי בגינו במצבי פגיעה חוקתית מובהקת"</w:t>
      </w:r>
      <w:r>
        <w:rPr>
          <w:rFonts w:ascii="David" w:hAnsi="David" w:cs="David"/>
          <w:color w:val="000000"/>
          <w:sz w:val="24"/>
          <w:szCs w:val="24"/>
          <w:rtl/>
        </w:rPr>
        <w:t xml:space="preserve">, אפנה אל יפעת ביטון </w:t>
      </w:r>
      <w:r>
        <w:rPr>
          <w:rFonts w:ascii="David" w:hAnsi="David" w:cs="David"/>
          <w:color w:val="000000"/>
          <w:sz w:val="24"/>
          <w:szCs w:val="24"/>
          <w:u w:val="single"/>
          <w:rtl/>
        </w:rPr>
        <w:t>"כאבים באזור הכבוד" – פיצוי בגין פגיעה בזכויות חוקתיות"</w:t>
      </w:r>
      <w:r>
        <w:rPr>
          <w:rFonts w:ascii="David" w:hAnsi="David" w:cs="David"/>
          <w:color w:val="000000"/>
          <w:sz w:val="24"/>
          <w:szCs w:val="24"/>
          <w:rtl/>
        </w:rPr>
        <w:t xml:space="preserve">, משפט וממשל, כרך ט' (תשס"ו) 137; עוד ר' גם דפנה ברק ארז, </w:t>
      </w:r>
      <w:r>
        <w:rPr>
          <w:rFonts w:ascii="David" w:hAnsi="David" w:cs="David"/>
          <w:color w:val="000000"/>
          <w:sz w:val="24"/>
          <w:szCs w:val="24"/>
          <w:u w:val="single"/>
          <w:rtl/>
        </w:rPr>
        <w:t>"עוולות חוקתיות בעידן חוקי היסוד"</w:t>
      </w:r>
      <w:r>
        <w:rPr>
          <w:rFonts w:ascii="David" w:hAnsi="David" w:cs="David"/>
          <w:color w:val="000000"/>
          <w:sz w:val="24"/>
          <w:szCs w:val="24"/>
          <w:rtl/>
        </w:rPr>
        <w:t>, משפט וממשל ט' (תשס"ו) בע"מ 103.</w:t>
      </w:r>
    </w:p>
    <w:p w:rsidR="001D708C" w:rsidRDefault="001D708C" w:rsidP="001D708C">
      <w:pPr>
        <w:pStyle w:val="listparagraph"/>
        <w:spacing w:after="0" w:line="233" w:lineRule="atLeast"/>
        <w:rPr>
          <w:color w:val="000000"/>
          <w:sz w:val="24"/>
          <w:szCs w:val="24"/>
        </w:rPr>
      </w:pPr>
      <w:r>
        <w:rPr>
          <w:rFonts w:ascii="David" w:hAnsi="David" w:cs="David"/>
          <w:color w:val="000000"/>
          <w:sz w:val="24"/>
          <w:szCs w:val="24"/>
        </w:rPr>
        <w:t> </w:t>
      </w:r>
    </w:p>
    <w:p w:rsidR="001D708C" w:rsidRDefault="001D708C" w:rsidP="00A673F7">
      <w:pPr>
        <w:pStyle w:val="ad"/>
        <w:spacing w:after="0" w:line="330" w:lineRule="atLeast"/>
        <w:ind w:left="896"/>
        <w:jc w:val="both"/>
        <w:rPr>
          <w:rFonts w:ascii="Calibri" w:hAnsi="Calibri" w:cs="Calibri"/>
          <w:color w:val="000000"/>
          <w:sz w:val="24"/>
          <w:szCs w:val="24"/>
          <w:rtl/>
        </w:rPr>
      </w:pPr>
      <w:r>
        <w:rPr>
          <w:rFonts w:ascii="David" w:hAnsi="David" w:cs="David"/>
          <w:color w:val="000000"/>
          <w:sz w:val="24"/>
          <w:szCs w:val="24"/>
          <w:rtl/>
        </w:rPr>
        <w:t xml:space="preserve">על כך שייעודו של מנגנון קביעת הפיצוי ללא הוכחת נזק הוא התמודדות עם המורכבות שבהערכת הנזק הבלתי ממוני לתובע הטוען להפליה, ר' רע"א 20515/15, </w:t>
      </w:r>
      <w:r>
        <w:rPr>
          <w:rFonts w:ascii="David" w:hAnsi="David" w:cs="David"/>
          <w:color w:val="000000"/>
          <w:sz w:val="24"/>
          <w:szCs w:val="24"/>
          <w:u w:val="single"/>
          <w:rtl/>
        </w:rPr>
        <w:t>מאיר פלבסקי נגד חברת מקור הפורמיקה בע"מ</w:t>
      </w:r>
      <w:r>
        <w:rPr>
          <w:rFonts w:ascii="David" w:hAnsi="David" w:cs="David"/>
          <w:color w:val="000000"/>
          <w:sz w:val="24"/>
          <w:szCs w:val="24"/>
          <w:rtl/>
        </w:rPr>
        <w:t> (מיום 4/8/2016).</w:t>
      </w:r>
    </w:p>
    <w:p w:rsidR="001D708C" w:rsidRDefault="001D708C" w:rsidP="001D708C">
      <w:pPr>
        <w:pStyle w:val="ad"/>
        <w:spacing w:after="0" w:line="330" w:lineRule="atLeast"/>
        <w:ind w:left="896"/>
        <w:jc w:val="both"/>
        <w:rPr>
          <w:rFonts w:ascii="David" w:hAnsi="David" w:cs="David"/>
          <w:color w:val="000000"/>
          <w:sz w:val="24"/>
          <w:szCs w:val="24"/>
          <w:rtl/>
        </w:rPr>
      </w:pPr>
    </w:p>
    <w:p w:rsidR="001D708C" w:rsidRDefault="001D708C" w:rsidP="00A673F7">
      <w:pPr>
        <w:pStyle w:val="ad"/>
        <w:numPr>
          <w:ilvl w:val="0"/>
          <w:numId w:val="13"/>
        </w:numPr>
        <w:spacing w:line="360" w:lineRule="auto"/>
        <w:jc w:val="both"/>
        <w:rPr>
          <w:rFonts w:ascii="David" w:hAnsi="David" w:cs="David"/>
          <w:color w:val="000000"/>
          <w:sz w:val="24"/>
          <w:szCs w:val="24"/>
          <w:rtl/>
        </w:rPr>
      </w:pPr>
      <w:r>
        <w:rPr>
          <w:rFonts w:ascii="David" w:hAnsi="David" w:cs="David"/>
          <w:color w:val="000000"/>
          <w:sz w:val="24"/>
          <w:szCs w:val="24"/>
          <w:rtl/>
        </w:rPr>
        <w:t>התו</w:t>
      </w:r>
      <w:r w:rsidR="00A673F7">
        <w:rPr>
          <w:rFonts w:ascii="David" w:hAnsi="David" w:cs="David"/>
          <w:color w:val="000000"/>
          <w:sz w:val="24"/>
          <w:szCs w:val="24"/>
          <w:rtl/>
        </w:rPr>
        <w:t>בעת בעניינינו הופלתה באופן גורף</w:t>
      </w:r>
      <w:r w:rsidR="00A673F7">
        <w:rPr>
          <w:rFonts w:ascii="David" w:hAnsi="David" w:cs="David" w:hint="cs"/>
          <w:color w:val="000000"/>
          <w:sz w:val="24"/>
          <w:szCs w:val="24"/>
          <w:rtl/>
        </w:rPr>
        <w:t xml:space="preserve">. הנתבעת סירבה </w:t>
      </w:r>
      <w:r>
        <w:rPr>
          <w:rFonts w:ascii="David" w:hAnsi="David" w:cs="David"/>
          <w:color w:val="000000"/>
          <w:sz w:val="24"/>
          <w:szCs w:val="24"/>
          <w:rtl/>
        </w:rPr>
        <w:t xml:space="preserve">להשאיל לה ספרים תוך הוקעתה בפועל בשל העובדה שלא נישאה לאיש. ההחלטה להפלות את התובעת ודומותיה נעשתה במחשכים, ועד עתה לא הוצגה כל החלטה מוסדרת לענין זה; לא הוצגו גם קריטריונים או כללים כלשהם שכן אלה ככל הנראה כלל אינם קיימים. הזלזול שבו התייחסה הנתבעת אל </w:t>
      </w:r>
      <w:r>
        <w:rPr>
          <w:rFonts w:ascii="David" w:hAnsi="David" w:cs="David"/>
          <w:color w:val="000000"/>
          <w:sz w:val="24"/>
          <w:szCs w:val="24"/>
          <w:rtl/>
        </w:rPr>
        <w:lastRenderedPageBreak/>
        <w:t>התובעת כאשר לא השיבה לפניותיה חלחל גם להליך כאן. גם בהליך כאן, ואפילו כאשר אימת הדין עומדת מול הנתבעת – הרי היא לא טרחה להביא את הספרנית שבהחלטה לא מוסברת בחרה ספרים כלשהם שיוחרמו לקריאה על ידי מי שלא התחתנה; הנתבעת אפילו לא ניסתה להציג כללים כלשהם וכך המשיכה בדרכה תוך שהיא רומסת את התובעת ודומותיה ואפילו לא מביטה מטה אל פניהן. בנסיבות אלה, ולאחר ששקלתי כל האמור לעיל – הרי יש לקבוע פיצוי ברף שבמתחם הגבוה בהוראות ה</w:t>
      </w:r>
      <w:r>
        <w:rPr>
          <w:rFonts w:ascii="David" w:hAnsi="David" w:cs="David"/>
          <w:color w:val="000000"/>
          <w:sz w:val="24"/>
          <w:szCs w:val="24"/>
          <w:u w:val="single"/>
          <w:rtl/>
        </w:rPr>
        <w:t>חוק לאיסור הפליה במוצרים ושירותים</w:t>
      </w:r>
      <w:r>
        <w:rPr>
          <w:rFonts w:ascii="David" w:hAnsi="David" w:cs="David"/>
          <w:color w:val="000000"/>
          <w:sz w:val="24"/>
          <w:szCs w:val="24"/>
          <w:rtl/>
        </w:rPr>
        <w:t xml:space="preserve">, ובסך של </w:t>
      </w:r>
      <w:r>
        <w:rPr>
          <w:rFonts w:ascii="David" w:hAnsi="David" w:cs="David"/>
          <w:b/>
          <w:bCs/>
          <w:color w:val="000000"/>
          <w:sz w:val="24"/>
          <w:szCs w:val="24"/>
          <w:u w:val="single"/>
          <w:rtl/>
        </w:rPr>
        <w:t>60,000 ₪</w:t>
      </w:r>
      <w:r>
        <w:rPr>
          <w:rFonts w:ascii="David" w:hAnsi="David" w:cs="David"/>
          <w:color w:val="000000"/>
          <w:sz w:val="24"/>
          <w:szCs w:val="24"/>
          <w:rtl/>
        </w:rPr>
        <w:t xml:space="preserve">.  </w:t>
      </w:r>
    </w:p>
    <w:p w:rsidR="001D708C" w:rsidRDefault="001D708C" w:rsidP="001D708C">
      <w:pPr>
        <w:pStyle w:val="ad"/>
        <w:spacing w:line="360" w:lineRule="auto"/>
        <w:ind w:left="536"/>
        <w:jc w:val="both"/>
        <w:rPr>
          <w:rFonts w:ascii="David" w:hAnsi="David" w:cs="David"/>
          <w:color w:val="000000"/>
          <w:sz w:val="24"/>
          <w:szCs w:val="24"/>
          <w:rtl/>
        </w:rPr>
      </w:pPr>
    </w:p>
    <w:p w:rsidR="001D708C" w:rsidRDefault="001D708C" w:rsidP="001D708C">
      <w:pPr>
        <w:pStyle w:val="ad"/>
        <w:numPr>
          <w:ilvl w:val="1"/>
          <w:numId w:val="1"/>
        </w:numPr>
        <w:spacing w:after="0" w:line="233" w:lineRule="atLeast"/>
        <w:ind w:left="536" w:hanging="708"/>
        <w:jc w:val="both"/>
        <w:rPr>
          <w:rFonts w:ascii="David" w:hAnsi="David" w:cs="David"/>
          <w:color w:val="000000"/>
          <w:sz w:val="24"/>
          <w:szCs w:val="24"/>
        </w:rPr>
      </w:pPr>
      <w:r>
        <w:rPr>
          <w:rFonts w:ascii="David" w:hAnsi="David" w:cs="David"/>
          <w:b/>
          <w:bCs/>
          <w:color w:val="000000"/>
          <w:sz w:val="24"/>
          <w:szCs w:val="24"/>
          <w:u w:val="single"/>
          <w:rtl/>
        </w:rPr>
        <w:t>אין מקום לקבוע פיצוי נוסף בגין עגמת נפש</w:t>
      </w:r>
    </w:p>
    <w:p w:rsidR="001D708C" w:rsidRDefault="001D708C" w:rsidP="001D708C">
      <w:pPr>
        <w:pStyle w:val="ad"/>
        <w:spacing w:after="0" w:line="360" w:lineRule="auto"/>
        <w:ind w:left="536"/>
        <w:jc w:val="both"/>
        <w:rPr>
          <w:rFonts w:ascii="David" w:hAnsi="David" w:cs="David"/>
          <w:b/>
          <w:bCs/>
          <w:color w:val="000000"/>
          <w:sz w:val="24"/>
          <w:szCs w:val="24"/>
          <w:rtl/>
        </w:rPr>
      </w:pPr>
      <w:r>
        <w:rPr>
          <w:rFonts w:ascii="David" w:hAnsi="David" w:cs="David"/>
          <w:color w:val="000000"/>
          <w:sz w:val="24"/>
          <w:szCs w:val="24"/>
          <w:rtl/>
        </w:rPr>
        <w:t>בנסיבות הענין – אין מקום לחייב בפיצוי כפול –</w:t>
      </w:r>
      <w:r w:rsidR="00A673F7">
        <w:rPr>
          <w:rFonts w:ascii="David" w:hAnsi="David" w:cs="David" w:hint="cs"/>
          <w:color w:val="000000"/>
          <w:sz w:val="24"/>
          <w:szCs w:val="24"/>
          <w:rtl/>
        </w:rPr>
        <w:t xml:space="preserve"> </w:t>
      </w:r>
      <w:r>
        <w:rPr>
          <w:rFonts w:ascii="David" w:hAnsi="David" w:cs="David"/>
          <w:color w:val="000000"/>
          <w:sz w:val="24"/>
          <w:szCs w:val="24"/>
          <w:rtl/>
        </w:rPr>
        <w:t xml:space="preserve">הן פיצוי לא ממוני וללא הוכחת נזק מכח החוק לאיסור הפליה במוצרים ובשירותים והן פיצוי לא ממוני נוסף בשל עגמת הנפש שנגרמה לתובעת. לענין זה ר' למשל ע"א 10085/08, </w:t>
      </w:r>
      <w:r>
        <w:rPr>
          <w:rFonts w:ascii="David" w:hAnsi="David" w:cs="David"/>
          <w:color w:val="000000"/>
          <w:sz w:val="24"/>
          <w:szCs w:val="24"/>
          <w:u w:val="single"/>
          <w:rtl/>
        </w:rPr>
        <w:t>תנובה - מרכז שיתופי נ' עזבון המנוח תופיק ראבי ז"ל</w:t>
      </w:r>
      <w:r>
        <w:rPr>
          <w:rFonts w:ascii="David" w:hAnsi="David" w:cs="David"/>
          <w:color w:val="000000"/>
          <w:sz w:val="24"/>
          <w:szCs w:val="24"/>
          <w:rtl/>
        </w:rPr>
        <w:t xml:space="preserve"> (מיום 4/12/2011, השופטת א' חיות, הש' ע' פוגלמן, הש' י' עמית). במקרה זה אמנם דובר על פיצוי בגין עגמת נפש לצד פיצוי בגין פגיעה באוטונומיה – ואולם הדברים שנקבעו נכונים גם לעניינינו ולפיהם (סעיף 40 לפסק דינה של הש' א' חיות) - </w:t>
      </w:r>
      <w:r>
        <w:rPr>
          <w:rFonts w:ascii="David" w:hAnsi="David" w:cs="David"/>
          <w:b/>
          <w:bCs/>
          <w:color w:val="000000"/>
          <w:sz w:val="24"/>
          <w:szCs w:val="24"/>
          <w:rtl/>
        </w:rPr>
        <w:t xml:space="preserve">"אין מקום לפצל את הפיצוי בגין פגיעה באוטונומיה מן הפיצוי בגין עוגמת נפש ותחושות שליליות שנגרמו לנפגע </w:t>
      </w:r>
      <w:r>
        <w:rPr>
          <w:rFonts w:ascii="David" w:hAnsi="David" w:cs="David"/>
          <w:b/>
          <w:bCs/>
          <w:color w:val="000000"/>
          <w:sz w:val="24"/>
          <w:szCs w:val="24"/>
          <w:u w:val="single"/>
          <w:rtl/>
        </w:rPr>
        <w:t>בגין אותה פגיעה</w:t>
      </w:r>
      <w:r>
        <w:rPr>
          <w:rFonts w:ascii="David" w:hAnsi="David" w:cs="David"/>
          <w:b/>
          <w:bCs/>
          <w:color w:val="000000"/>
          <w:sz w:val="24"/>
          <w:szCs w:val="24"/>
          <w:rtl/>
        </w:rPr>
        <w:t>".</w:t>
      </w:r>
    </w:p>
    <w:p w:rsidR="001D708C" w:rsidRDefault="001D708C" w:rsidP="001D708C">
      <w:pPr>
        <w:pStyle w:val="ad"/>
        <w:spacing w:after="0" w:line="360" w:lineRule="auto"/>
        <w:ind w:left="536"/>
        <w:jc w:val="both"/>
        <w:rPr>
          <w:rFonts w:ascii="David" w:hAnsi="David" w:cs="David"/>
          <w:b/>
          <w:bCs/>
          <w:color w:val="000000"/>
          <w:sz w:val="24"/>
          <w:szCs w:val="24"/>
          <w:rtl/>
        </w:rPr>
      </w:pPr>
    </w:p>
    <w:p w:rsidR="001D708C" w:rsidRDefault="001D708C" w:rsidP="001D708C">
      <w:pPr>
        <w:pStyle w:val="ad"/>
        <w:spacing w:after="0" w:line="360" w:lineRule="auto"/>
        <w:ind w:left="536"/>
        <w:jc w:val="both"/>
        <w:rPr>
          <w:rFonts w:ascii="David" w:hAnsi="David" w:cs="David"/>
          <w:color w:val="000000"/>
          <w:sz w:val="24"/>
          <w:szCs w:val="24"/>
          <w:rtl/>
        </w:rPr>
      </w:pPr>
      <w:r>
        <w:rPr>
          <w:rFonts w:ascii="David" w:hAnsi="David" w:cs="David"/>
          <w:color w:val="000000"/>
          <w:sz w:val="24"/>
          <w:szCs w:val="24"/>
          <w:rtl/>
        </w:rPr>
        <w:t xml:space="preserve">להרחבה ר' גם ע"א 887/19, </w:t>
      </w:r>
      <w:r>
        <w:rPr>
          <w:rFonts w:ascii="David" w:hAnsi="David" w:cs="David"/>
          <w:color w:val="000000"/>
          <w:sz w:val="24"/>
          <w:szCs w:val="24"/>
          <w:u w:val="single"/>
          <w:rtl/>
        </w:rPr>
        <w:t>מלכה שמול נ' שירותי בריאות כללית</w:t>
      </w:r>
      <w:r>
        <w:rPr>
          <w:rFonts w:ascii="David" w:hAnsi="David" w:cs="David"/>
          <w:color w:val="000000"/>
          <w:sz w:val="24"/>
          <w:szCs w:val="24"/>
          <w:rtl/>
        </w:rPr>
        <w:t xml:space="preserve"> (מיום 21/11/2022, המש' לנש' הש' עש פוגלמן, הש' ד' מינץ, הש' ח' כבוב) וכן ר' ת"צ (מחוזי תל אביב) 16059-04-16, </w:t>
      </w:r>
      <w:r>
        <w:rPr>
          <w:rFonts w:ascii="David" w:hAnsi="David" w:cs="David"/>
          <w:color w:val="000000"/>
          <w:sz w:val="24"/>
          <w:szCs w:val="24"/>
          <w:u w:val="single"/>
          <w:rtl/>
        </w:rPr>
        <w:t>נ.כ (קטינה) והוריה נ' ניאופרם בע"מ</w:t>
      </w:r>
      <w:r>
        <w:rPr>
          <w:rFonts w:ascii="David" w:hAnsi="David" w:cs="David"/>
          <w:color w:val="000000"/>
          <w:sz w:val="24"/>
          <w:szCs w:val="24"/>
          <w:rtl/>
        </w:rPr>
        <w:t xml:space="preserve"> (מיום 13/12/2020, השופטת מ' אגמון-גונן).</w:t>
      </w:r>
    </w:p>
    <w:p w:rsidR="001D708C" w:rsidRDefault="001D708C" w:rsidP="001D708C">
      <w:pPr>
        <w:pStyle w:val="ad"/>
        <w:spacing w:line="360" w:lineRule="auto"/>
        <w:ind w:left="395"/>
        <w:jc w:val="both"/>
        <w:rPr>
          <w:rFonts w:ascii="David" w:hAnsi="David" w:cs="David"/>
          <w:color w:val="000000"/>
          <w:sz w:val="24"/>
          <w:szCs w:val="24"/>
          <w:u w:val="single"/>
          <w:rtl/>
        </w:rPr>
      </w:pPr>
    </w:p>
    <w:p w:rsidR="001D708C" w:rsidRDefault="001D708C" w:rsidP="001D708C">
      <w:pPr>
        <w:pStyle w:val="ad"/>
        <w:numPr>
          <w:ilvl w:val="0"/>
          <w:numId w:val="1"/>
        </w:numPr>
        <w:spacing w:line="360" w:lineRule="auto"/>
        <w:ind w:left="-172" w:hanging="284"/>
        <w:jc w:val="both"/>
        <w:rPr>
          <w:rFonts w:ascii="David" w:hAnsi="David" w:cs="David"/>
          <w:color w:val="000000"/>
          <w:sz w:val="24"/>
          <w:szCs w:val="24"/>
        </w:rPr>
      </w:pPr>
      <w:r>
        <w:rPr>
          <w:rFonts w:ascii="David" w:hAnsi="David" w:cs="David"/>
          <w:b/>
          <w:bCs/>
          <w:color w:val="000000"/>
          <w:sz w:val="24"/>
          <w:szCs w:val="24"/>
          <w:u w:val="single"/>
          <w:rtl/>
        </w:rPr>
        <w:t>הערה לפני סיום</w:t>
      </w:r>
    </w:p>
    <w:p w:rsidR="001D708C" w:rsidRDefault="001D708C" w:rsidP="001D708C">
      <w:pPr>
        <w:pStyle w:val="ad"/>
        <w:numPr>
          <w:ilvl w:val="1"/>
          <w:numId w:val="1"/>
        </w:numPr>
        <w:spacing w:line="360" w:lineRule="auto"/>
        <w:ind w:left="536" w:hanging="708"/>
        <w:jc w:val="both"/>
        <w:rPr>
          <w:rFonts w:ascii="David" w:hAnsi="David" w:cs="David"/>
          <w:color w:val="000000"/>
          <w:sz w:val="24"/>
          <w:szCs w:val="24"/>
        </w:rPr>
      </w:pPr>
      <w:r>
        <w:rPr>
          <w:rFonts w:ascii="David" w:hAnsi="David" w:cs="David"/>
          <w:color w:val="000000"/>
          <w:sz w:val="24"/>
          <w:szCs w:val="24"/>
          <w:rtl/>
        </w:rPr>
        <w:t>התביעה הוגשה בגין הפליית התובעת, בשל העובדה שנותרה רווקה ולא נישאה לאיש. כתב ההגנה הרחיב, משום מה, באשר לכך שלא היתה בעניינ</w:t>
      </w:r>
      <w:r w:rsidR="00A673F7">
        <w:rPr>
          <w:rFonts w:ascii="David" w:hAnsi="David" w:cs="David" w:hint="cs"/>
          <w:color w:val="000000"/>
          <w:sz w:val="24"/>
          <w:szCs w:val="24"/>
          <w:rtl/>
        </w:rPr>
        <w:t>נ</w:t>
      </w:r>
      <w:r>
        <w:rPr>
          <w:rFonts w:ascii="David" w:hAnsi="David" w:cs="David"/>
          <w:color w:val="000000"/>
          <w:sz w:val="24"/>
          <w:szCs w:val="24"/>
          <w:rtl/>
        </w:rPr>
        <w:t>ו הפליה מגדרית, זאת למרות שהתובעת כלל לא טענה להפליה מגדרית.</w:t>
      </w:r>
    </w:p>
    <w:p w:rsidR="001D708C" w:rsidRDefault="001D708C" w:rsidP="001D708C">
      <w:pPr>
        <w:pStyle w:val="ad"/>
        <w:spacing w:line="360" w:lineRule="auto"/>
        <w:ind w:left="536"/>
        <w:jc w:val="both"/>
        <w:rPr>
          <w:rFonts w:ascii="David" w:hAnsi="David" w:cs="David"/>
          <w:color w:val="000000"/>
          <w:sz w:val="24"/>
          <w:szCs w:val="24"/>
        </w:rPr>
      </w:pPr>
    </w:p>
    <w:p w:rsidR="001D708C" w:rsidRDefault="001D708C" w:rsidP="001D708C">
      <w:pPr>
        <w:pStyle w:val="ad"/>
        <w:numPr>
          <w:ilvl w:val="1"/>
          <w:numId w:val="1"/>
        </w:numPr>
        <w:spacing w:line="360" w:lineRule="auto"/>
        <w:ind w:left="536" w:hanging="708"/>
        <w:jc w:val="both"/>
        <w:rPr>
          <w:rFonts w:ascii="David" w:hAnsi="David" w:cs="David"/>
          <w:color w:val="000000"/>
          <w:sz w:val="24"/>
          <w:szCs w:val="24"/>
        </w:rPr>
      </w:pPr>
      <w:r>
        <w:rPr>
          <w:rFonts w:ascii="David" w:hAnsi="David" w:cs="David"/>
          <w:color w:val="000000"/>
          <w:sz w:val="24"/>
          <w:szCs w:val="24"/>
          <w:rtl/>
        </w:rPr>
        <w:t xml:space="preserve">במהלך חקירתו הנגדית של נציג הנתבעת, התברר שעל פניו </w:t>
      </w:r>
      <w:r w:rsidR="00A673F7">
        <w:rPr>
          <w:rFonts w:ascii="David" w:hAnsi="David" w:cs="David" w:hint="cs"/>
          <w:color w:val="000000"/>
          <w:sz w:val="24"/>
          <w:szCs w:val="24"/>
          <w:rtl/>
        </w:rPr>
        <w:t xml:space="preserve">אכן </w:t>
      </w:r>
      <w:r>
        <w:rPr>
          <w:rFonts w:ascii="David" w:hAnsi="David" w:cs="David"/>
          <w:color w:val="000000"/>
          <w:sz w:val="24"/>
          <w:szCs w:val="24"/>
          <w:rtl/>
        </w:rPr>
        <w:t>גם היתה לפנינו הפליה מגדרית. בעוד התובעת, כאשה ובת העדה ה</w:t>
      </w:r>
      <w:r w:rsidR="00011BEE">
        <w:rPr>
          <w:rFonts w:ascii="David" w:hAnsi="David" w:cs="David"/>
          <w:color w:val="000000"/>
          <w:sz w:val="24"/>
          <w:szCs w:val="24"/>
          <w:rtl/>
        </w:rPr>
        <w:t>חרדית, נושאת סממנים חיצוניים מה</w:t>
      </w:r>
      <w:r w:rsidR="00011BEE">
        <w:rPr>
          <w:rFonts w:ascii="David" w:hAnsi="David" w:cs="David" w:hint="cs"/>
          <w:color w:val="000000"/>
          <w:sz w:val="24"/>
          <w:szCs w:val="24"/>
          <w:rtl/>
        </w:rPr>
        <w:t>ם</w:t>
      </w:r>
      <w:r>
        <w:rPr>
          <w:rFonts w:ascii="David" w:hAnsi="David" w:cs="David"/>
          <w:color w:val="000000"/>
          <w:sz w:val="24"/>
          <w:szCs w:val="24"/>
          <w:rtl/>
        </w:rPr>
        <w:t xml:space="preserve"> ניתן להבין שהיא רווקה – הרי לגבר בן העדה החרדית אין </w:t>
      </w:r>
      <w:r w:rsidR="00A673F7">
        <w:rPr>
          <w:rFonts w:ascii="David" w:hAnsi="David" w:cs="David" w:hint="cs"/>
          <w:color w:val="000000"/>
          <w:sz w:val="24"/>
          <w:szCs w:val="24"/>
          <w:rtl/>
        </w:rPr>
        <w:t>תמיד וברג</w:t>
      </w:r>
      <w:r w:rsidR="002F4224">
        <w:rPr>
          <w:rFonts w:ascii="David" w:hAnsi="David" w:cs="David" w:hint="cs"/>
          <w:color w:val="000000"/>
          <w:sz w:val="24"/>
          <w:szCs w:val="24"/>
          <w:rtl/>
        </w:rPr>
        <w:t xml:space="preserve">יל </w:t>
      </w:r>
      <w:r>
        <w:rPr>
          <w:rFonts w:ascii="David" w:hAnsi="David" w:cs="David"/>
          <w:color w:val="000000"/>
          <w:sz w:val="24"/>
          <w:szCs w:val="24"/>
          <w:rtl/>
        </w:rPr>
        <w:t xml:space="preserve">סממנים דומים. לענין זה העיד נציג הנתבעת כך (ע"מ 25, החל משורה 12, ההדגשות לא במקור): </w:t>
      </w:r>
    </w:p>
    <w:p w:rsidR="001D708C" w:rsidRDefault="001D708C" w:rsidP="001D708C">
      <w:pPr>
        <w:pStyle w:val="ad"/>
        <w:spacing w:line="360" w:lineRule="auto"/>
        <w:ind w:left="2874" w:hanging="1797"/>
        <w:jc w:val="both"/>
        <w:rPr>
          <w:rFonts w:ascii="David" w:hAnsi="David" w:cs="David"/>
          <w:b/>
          <w:bCs/>
          <w:color w:val="000000"/>
          <w:sz w:val="24"/>
          <w:szCs w:val="24"/>
        </w:rPr>
      </w:pPr>
      <w:r>
        <w:rPr>
          <w:rFonts w:ascii="David" w:hAnsi="David" w:cs="David"/>
          <w:b/>
          <w:bCs/>
          <w:color w:val="000000"/>
          <w:sz w:val="24"/>
          <w:szCs w:val="24"/>
          <w:rtl/>
        </w:rPr>
        <w:t xml:space="preserve">העד, מר רוזן: </w:t>
      </w:r>
      <w:r>
        <w:rPr>
          <w:rFonts w:ascii="David" w:hAnsi="David" w:cs="David"/>
          <w:b/>
          <w:bCs/>
          <w:color w:val="000000"/>
          <w:sz w:val="24"/>
          <w:szCs w:val="24"/>
          <w:rtl/>
        </w:rPr>
        <w:tab/>
        <w:t xml:space="preserve">שוב, ככה בוא אני אחדד, אני לא יודע, אני לא הייתי באותה סיטואציה. אז אני לא רוצה להיות עכשיו הדובר של המנהל. ממה שאני מבין, </w:t>
      </w:r>
      <w:r>
        <w:rPr>
          <w:rFonts w:ascii="David" w:hAnsi="David" w:cs="David"/>
          <w:b/>
          <w:bCs/>
          <w:color w:val="000000"/>
          <w:sz w:val="24"/>
          <w:szCs w:val="24"/>
          <w:u w:val="single"/>
          <w:rtl/>
        </w:rPr>
        <w:t>אצלנו הנוהל בחורה נשואה היא הולכת עם פאה</w:t>
      </w:r>
      <w:r>
        <w:rPr>
          <w:rFonts w:ascii="David" w:hAnsi="David" w:cs="David"/>
          <w:b/>
          <w:bCs/>
          <w:color w:val="000000"/>
          <w:sz w:val="24"/>
          <w:szCs w:val="24"/>
          <w:rtl/>
        </w:rPr>
        <w:t xml:space="preserve">, בהופעה שהיא הגיעה, זה גם מובן ואני לא מנסה לפגוע בה כרגע. מי שלא הולך עם כיסוי ראש, הוא (לא ברור) לכן היא רצתה ספר מסוים ואמרו לה שזה לא מתאים לה. </w:t>
      </w:r>
      <w:r>
        <w:rPr>
          <w:rFonts w:ascii="David" w:hAnsi="David" w:cs="David"/>
          <w:b/>
          <w:bCs/>
          <w:color w:val="000000"/>
          <w:sz w:val="24"/>
          <w:szCs w:val="24"/>
          <w:u w:val="single"/>
          <w:rtl/>
        </w:rPr>
        <w:t xml:space="preserve">לא שואלים כל אחד סתם, מנסים עם </w:t>
      </w:r>
      <w:r>
        <w:rPr>
          <w:rFonts w:ascii="David" w:hAnsi="David" w:cs="David"/>
          <w:b/>
          <w:bCs/>
          <w:color w:val="000000"/>
          <w:sz w:val="24"/>
          <w:szCs w:val="24"/>
          <w:u w:val="single"/>
          <w:rtl/>
        </w:rPr>
        <w:lastRenderedPageBreak/>
        <w:t>תעודות זהות ועדים ורשום נישואים ודברים כאלה. רק ההופעה של שידרה שהיא לא נשואה</w:t>
      </w:r>
      <w:r>
        <w:rPr>
          <w:rFonts w:ascii="David" w:hAnsi="David" w:cs="David"/>
          <w:b/>
          <w:bCs/>
          <w:color w:val="000000"/>
          <w:sz w:val="24"/>
          <w:szCs w:val="24"/>
          <w:rtl/>
        </w:rPr>
        <w:t>. זה הכל, אם תבוא אחת עם פאה יכול להיות שיתנו לה,</w:t>
      </w:r>
    </w:p>
    <w:p w:rsidR="001D708C" w:rsidRDefault="001D708C" w:rsidP="001D708C">
      <w:pPr>
        <w:pStyle w:val="ad"/>
        <w:spacing w:line="360" w:lineRule="auto"/>
        <w:ind w:left="536"/>
        <w:jc w:val="both"/>
        <w:rPr>
          <w:rFonts w:ascii="David" w:hAnsi="David" w:cs="David"/>
          <w:color w:val="000000"/>
          <w:sz w:val="24"/>
          <w:szCs w:val="24"/>
          <w:rtl/>
        </w:rPr>
      </w:pPr>
      <w:r>
        <w:rPr>
          <w:rFonts w:ascii="David" w:hAnsi="David" w:cs="David"/>
          <w:color w:val="000000"/>
          <w:sz w:val="24"/>
          <w:szCs w:val="24"/>
          <w:rtl/>
        </w:rPr>
        <w:t>ובהמשך:</w:t>
      </w:r>
    </w:p>
    <w:p w:rsidR="001D708C" w:rsidRDefault="001D708C" w:rsidP="001D708C">
      <w:pPr>
        <w:pStyle w:val="ad"/>
        <w:spacing w:line="360" w:lineRule="auto"/>
        <w:ind w:left="2880" w:hanging="1800"/>
        <w:rPr>
          <w:rFonts w:ascii="David" w:hAnsi="David" w:cs="David"/>
          <w:b/>
          <w:bCs/>
          <w:color w:val="000000"/>
          <w:sz w:val="24"/>
          <w:szCs w:val="24"/>
          <w:rtl/>
        </w:rPr>
      </w:pPr>
      <w:r>
        <w:rPr>
          <w:rFonts w:ascii="David" w:hAnsi="David" w:cs="David"/>
          <w:b/>
          <w:bCs/>
          <w:color w:val="000000"/>
          <w:sz w:val="24"/>
          <w:szCs w:val="24"/>
          <w:rtl/>
        </w:rPr>
        <w:t xml:space="preserve">כב' הש' ברקאי: </w:t>
      </w:r>
      <w:r>
        <w:rPr>
          <w:rFonts w:ascii="David" w:hAnsi="David" w:cs="David"/>
          <w:b/>
          <w:bCs/>
          <w:color w:val="000000"/>
          <w:sz w:val="24"/>
          <w:szCs w:val="24"/>
          <w:rtl/>
        </w:rPr>
        <w:tab/>
        <w:t>איך על גבר יודעים אם הוא לא נשוי או נשוי?</w:t>
      </w:r>
    </w:p>
    <w:p w:rsidR="001D708C" w:rsidRDefault="001D708C" w:rsidP="001D708C">
      <w:pPr>
        <w:pStyle w:val="ad"/>
        <w:spacing w:line="360" w:lineRule="auto"/>
        <w:ind w:left="2880" w:hanging="1800"/>
        <w:rPr>
          <w:rFonts w:ascii="David" w:hAnsi="David" w:cs="David"/>
          <w:b/>
          <w:bCs/>
          <w:color w:val="000000"/>
          <w:sz w:val="24"/>
          <w:szCs w:val="24"/>
          <w:rtl/>
        </w:rPr>
      </w:pPr>
      <w:r>
        <w:rPr>
          <w:rFonts w:ascii="David" w:hAnsi="David" w:cs="David"/>
          <w:b/>
          <w:bCs/>
          <w:color w:val="000000"/>
          <w:sz w:val="24"/>
          <w:szCs w:val="24"/>
          <w:rtl/>
        </w:rPr>
        <w:t xml:space="preserve">העד, מר רוזן: </w:t>
      </w:r>
      <w:r>
        <w:rPr>
          <w:rFonts w:ascii="David" w:hAnsi="David" w:cs="David"/>
          <w:b/>
          <w:bCs/>
          <w:color w:val="000000"/>
          <w:sz w:val="24"/>
          <w:szCs w:val="24"/>
          <w:rtl/>
        </w:rPr>
        <w:tab/>
        <w:t>שוב, אפשר, מי שירצה בכוח לעשות ולהביא,</w:t>
      </w:r>
    </w:p>
    <w:p w:rsidR="001D708C" w:rsidRDefault="001D708C" w:rsidP="001D708C">
      <w:pPr>
        <w:pStyle w:val="ad"/>
        <w:spacing w:line="360" w:lineRule="auto"/>
        <w:ind w:left="2880" w:hanging="1800"/>
        <w:rPr>
          <w:rFonts w:ascii="David" w:hAnsi="David" w:cs="David"/>
          <w:b/>
          <w:bCs/>
          <w:color w:val="000000"/>
          <w:sz w:val="24"/>
          <w:szCs w:val="24"/>
          <w:rtl/>
        </w:rPr>
      </w:pPr>
      <w:r>
        <w:rPr>
          <w:rFonts w:ascii="David" w:hAnsi="David" w:cs="David"/>
          <w:b/>
          <w:bCs/>
          <w:color w:val="000000"/>
          <w:sz w:val="24"/>
          <w:szCs w:val="24"/>
          <w:rtl/>
        </w:rPr>
        <w:t xml:space="preserve">כב' הש' ברקאי: </w:t>
      </w:r>
      <w:r>
        <w:rPr>
          <w:rFonts w:ascii="David" w:hAnsi="David" w:cs="David"/>
          <w:b/>
          <w:bCs/>
          <w:color w:val="000000"/>
          <w:sz w:val="24"/>
          <w:szCs w:val="24"/>
          <w:rtl/>
        </w:rPr>
        <w:tab/>
        <w:t>לא, אצלה זה לפי פאה. לגבר אין לו טבעת, אז איך איך תדע אם הוא נשוי או לא נשוי</w:t>
      </w:r>
    </w:p>
    <w:p w:rsidR="002F4224" w:rsidRPr="002F4224" w:rsidRDefault="002F4224" w:rsidP="002F4224">
      <w:pPr>
        <w:pStyle w:val="ad"/>
        <w:spacing w:line="360" w:lineRule="auto"/>
        <w:ind w:left="2874" w:hanging="1797"/>
        <w:jc w:val="both"/>
        <w:rPr>
          <w:rFonts w:ascii="David" w:hAnsi="David" w:cs="David"/>
          <w:b/>
          <w:bCs/>
          <w:color w:val="000000"/>
          <w:sz w:val="24"/>
          <w:szCs w:val="24"/>
          <w:rtl/>
        </w:rPr>
      </w:pPr>
      <w:r w:rsidRPr="002F4224">
        <w:rPr>
          <w:rFonts w:ascii="David" w:hAnsi="David" w:cs="David"/>
          <w:b/>
          <w:bCs/>
          <w:color w:val="000000"/>
          <w:sz w:val="24"/>
          <w:szCs w:val="24"/>
          <w:rtl/>
        </w:rPr>
        <w:t xml:space="preserve">העד, מר רוזן: </w:t>
      </w:r>
      <w:r w:rsidRPr="002F4224">
        <w:rPr>
          <w:rFonts w:ascii="David" w:hAnsi="David" w:cs="David"/>
          <w:b/>
          <w:bCs/>
          <w:color w:val="000000"/>
          <w:sz w:val="24"/>
          <w:szCs w:val="24"/>
          <w:rtl/>
        </w:rPr>
        <w:tab/>
        <w:t>נכון, בהחלט אני מסכים. אני אבדוק את זה. אבל הנוהל זה שמישהו לא עבר תהליך,</w:t>
      </w:r>
    </w:p>
    <w:p w:rsidR="001D708C" w:rsidRDefault="001D708C" w:rsidP="001D708C">
      <w:pPr>
        <w:pStyle w:val="ad"/>
        <w:spacing w:line="360" w:lineRule="auto"/>
        <w:ind w:left="2880" w:hanging="1800"/>
        <w:rPr>
          <w:rFonts w:ascii="David" w:hAnsi="David" w:cs="David"/>
          <w:color w:val="000000"/>
          <w:sz w:val="24"/>
          <w:szCs w:val="24"/>
          <w:rtl/>
        </w:rPr>
      </w:pPr>
    </w:p>
    <w:p w:rsidR="001D708C" w:rsidRDefault="001D708C" w:rsidP="001D708C">
      <w:pPr>
        <w:pStyle w:val="ad"/>
        <w:spacing w:line="360" w:lineRule="auto"/>
        <w:ind w:left="536"/>
        <w:jc w:val="both"/>
        <w:rPr>
          <w:rFonts w:ascii="David" w:hAnsi="David" w:cs="David"/>
          <w:color w:val="000000"/>
          <w:sz w:val="24"/>
          <w:szCs w:val="24"/>
          <w:rtl/>
        </w:rPr>
      </w:pPr>
      <w:r>
        <w:rPr>
          <w:rFonts w:ascii="David" w:hAnsi="David" w:cs="David"/>
          <w:color w:val="000000"/>
          <w:sz w:val="24"/>
          <w:szCs w:val="24"/>
          <w:rtl/>
        </w:rPr>
        <w:t>למען ההגינות ייאמר שנציג הנתבעת עמד על כך שהספרים האסורים לא יושאלו גם לגבר שנותר רווק, למרות שלא ידע להסביר כיצד יידעו שהגבר רווק, וכלשונו:</w:t>
      </w:r>
    </w:p>
    <w:p w:rsidR="001D708C" w:rsidRDefault="001D708C" w:rsidP="001D708C">
      <w:pPr>
        <w:pStyle w:val="ad"/>
        <w:spacing w:line="360" w:lineRule="auto"/>
        <w:ind w:left="2874" w:hanging="1797"/>
        <w:jc w:val="both"/>
        <w:rPr>
          <w:rFonts w:ascii="David" w:hAnsi="David" w:cs="David"/>
          <w:b/>
          <w:bCs/>
          <w:color w:val="000000"/>
          <w:sz w:val="24"/>
          <w:szCs w:val="24"/>
          <w:rtl/>
        </w:rPr>
      </w:pPr>
      <w:r>
        <w:rPr>
          <w:rFonts w:ascii="David" w:hAnsi="David" w:cs="David"/>
          <w:b/>
          <w:bCs/>
          <w:color w:val="000000"/>
          <w:sz w:val="24"/>
          <w:szCs w:val="24"/>
          <w:rtl/>
        </w:rPr>
        <w:t xml:space="preserve">העד, מר רוזן: </w:t>
      </w:r>
      <w:r>
        <w:rPr>
          <w:rFonts w:ascii="David" w:hAnsi="David" w:cs="David"/>
          <w:b/>
          <w:bCs/>
          <w:color w:val="000000"/>
          <w:sz w:val="24"/>
          <w:szCs w:val="24"/>
          <w:rtl/>
        </w:rPr>
        <w:tab/>
        <w:t>לא, אני לא אמרתי שיתנו, סליחה. אמרתי אני אבדוק איך הם באמת בודקים את זה. אבל אדם שלא עבר תהליך נישואים, לא מקבל. אין הבדל בין גבר לאישה</w:t>
      </w:r>
    </w:p>
    <w:p w:rsidR="001D708C" w:rsidRDefault="001D708C" w:rsidP="001D708C">
      <w:pPr>
        <w:pStyle w:val="ad"/>
        <w:spacing w:line="360" w:lineRule="auto"/>
        <w:ind w:left="536"/>
        <w:jc w:val="both"/>
        <w:rPr>
          <w:rFonts w:ascii="David" w:hAnsi="David" w:cs="David"/>
          <w:color w:val="000000"/>
          <w:sz w:val="24"/>
          <w:szCs w:val="24"/>
          <w:rtl/>
        </w:rPr>
      </w:pPr>
    </w:p>
    <w:p w:rsidR="001D708C" w:rsidRDefault="001D708C" w:rsidP="001D708C">
      <w:pPr>
        <w:pStyle w:val="ad"/>
        <w:spacing w:line="360" w:lineRule="auto"/>
        <w:ind w:left="536"/>
        <w:jc w:val="both"/>
        <w:rPr>
          <w:rFonts w:ascii="David" w:hAnsi="David" w:cs="David"/>
          <w:color w:val="000000"/>
          <w:sz w:val="24"/>
          <w:szCs w:val="24"/>
          <w:rtl/>
        </w:rPr>
      </w:pPr>
      <w:r>
        <w:rPr>
          <w:rFonts w:ascii="David" w:hAnsi="David" w:cs="David"/>
          <w:color w:val="000000"/>
          <w:sz w:val="24"/>
          <w:szCs w:val="24"/>
          <w:rtl/>
        </w:rPr>
        <w:t>כך או כך – התביעה לא הוגשה בשל הפליה מגדרית, ומכאן אסתפק באשר נכתב עד כה.</w:t>
      </w:r>
    </w:p>
    <w:p w:rsidR="001D708C" w:rsidRDefault="001D708C" w:rsidP="001D708C">
      <w:pPr>
        <w:pStyle w:val="ad"/>
        <w:spacing w:line="360" w:lineRule="auto"/>
        <w:ind w:left="395"/>
        <w:jc w:val="both"/>
        <w:rPr>
          <w:rFonts w:ascii="David" w:hAnsi="David" w:cs="David"/>
          <w:color w:val="000000"/>
          <w:sz w:val="24"/>
          <w:szCs w:val="24"/>
          <w:u w:val="single"/>
          <w:rtl/>
        </w:rPr>
      </w:pPr>
    </w:p>
    <w:p w:rsidR="001D708C" w:rsidRDefault="001D708C" w:rsidP="001D708C">
      <w:pPr>
        <w:pStyle w:val="ad"/>
        <w:numPr>
          <w:ilvl w:val="0"/>
          <w:numId w:val="1"/>
        </w:numPr>
        <w:spacing w:line="360" w:lineRule="auto"/>
        <w:ind w:left="-172" w:hanging="284"/>
        <w:jc w:val="both"/>
        <w:rPr>
          <w:rFonts w:ascii="David" w:hAnsi="David" w:cs="David"/>
          <w:color w:val="000000"/>
          <w:sz w:val="24"/>
          <w:szCs w:val="24"/>
        </w:rPr>
      </w:pPr>
      <w:r>
        <w:rPr>
          <w:rFonts w:ascii="David" w:hAnsi="David" w:cs="David"/>
          <w:b/>
          <w:bCs/>
          <w:color w:val="000000"/>
          <w:sz w:val="24"/>
          <w:szCs w:val="24"/>
          <w:u w:val="single"/>
          <w:rtl/>
        </w:rPr>
        <w:t>סוף דבר</w:t>
      </w:r>
    </w:p>
    <w:p w:rsidR="001D708C" w:rsidRDefault="001D708C" w:rsidP="001D708C">
      <w:pPr>
        <w:pStyle w:val="ad"/>
        <w:spacing w:line="360" w:lineRule="auto"/>
        <w:ind w:left="-172"/>
        <w:jc w:val="both"/>
        <w:rPr>
          <w:rFonts w:ascii="David" w:hAnsi="David" w:cs="David"/>
          <w:color w:val="000000"/>
          <w:sz w:val="24"/>
          <w:szCs w:val="24"/>
          <w:rtl/>
        </w:rPr>
      </w:pPr>
      <w:r>
        <w:rPr>
          <w:rFonts w:ascii="David" w:hAnsi="David" w:cs="David"/>
          <w:color w:val="000000"/>
          <w:sz w:val="24"/>
          <w:szCs w:val="24"/>
          <w:rtl/>
        </w:rPr>
        <w:t>לאור כל האמור לעיל התביעה מתקבלת בחלקה, אך ורק באשר לפיצוי מכח ה</w:t>
      </w:r>
      <w:r>
        <w:rPr>
          <w:rFonts w:ascii="David" w:hAnsi="David" w:cs="David"/>
          <w:color w:val="000000"/>
          <w:sz w:val="24"/>
          <w:szCs w:val="24"/>
          <w:u w:val="single"/>
          <w:rtl/>
        </w:rPr>
        <w:t>חוק לאיסור הפליה במוצרים ובשירותים</w:t>
      </w:r>
      <w:r>
        <w:rPr>
          <w:rFonts w:ascii="David" w:hAnsi="David" w:cs="David"/>
          <w:color w:val="000000"/>
          <w:sz w:val="24"/>
          <w:szCs w:val="24"/>
          <w:rtl/>
        </w:rPr>
        <w:t>.</w:t>
      </w:r>
    </w:p>
    <w:p w:rsidR="00D31D44" w:rsidRDefault="00D31D44" w:rsidP="001D708C">
      <w:pPr>
        <w:pStyle w:val="ad"/>
        <w:spacing w:line="360" w:lineRule="auto"/>
        <w:ind w:left="-172"/>
        <w:jc w:val="both"/>
        <w:rPr>
          <w:rFonts w:ascii="David" w:hAnsi="David" w:cs="David"/>
          <w:color w:val="000000"/>
          <w:sz w:val="24"/>
          <w:szCs w:val="24"/>
        </w:rPr>
      </w:pPr>
    </w:p>
    <w:p w:rsidR="001D708C" w:rsidRPr="002F4224" w:rsidRDefault="001D708C" w:rsidP="001D708C">
      <w:pPr>
        <w:pStyle w:val="ad"/>
        <w:spacing w:line="360" w:lineRule="auto"/>
        <w:ind w:left="-172"/>
        <w:jc w:val="both"/>
        <w:rPr>
          <w:rFonts w:ascii="David" w:hAnsi="David" w:cs="David"/>
          <w:b/>
          <w:bCs/>
          <w:color w:val="000000"/>
          <w:sz w:val="24"/>
          <w:szCs w:val="24"/>
          <w:rtl/>
        </w:rPr>
      </w:pPr>
      <w:r w:rsidRPr="002F4224">
        <w:rPr>
          <w:rFonts w:ascii="David" w:hAnsi="David" w:cs="David"/>
          <w:b/>
          <w:bCs/>
          <w:color w:val="000000"/>
          <w:sz w:val="24"/>
          <w:szCs w:val="24"/>
          <w:rtl/>
        </w:rPr>
        <w:t>בהתאמה לסעיף 8.1(ג)</w:t>
      </w:r>
      <w:r w:rsidRPr="002F4224">
        <w:rPr>
          <w:rFonts w:ascii="David" w:hAnsi="David" w:cs="David"/>
          <w:b/>
          <w:bCs/>
          <w:color w:val="000000"/>
          <w:sz w:val="24"/>
          <w:szCs w:val="24"/>
        </w:rPr>
        <w:t xml:space="preserve"> </w:t>
      </w:r>
      <w:r w:rsidRPr="002F4224">
        <w:rPr>
          <w:rFonts w:ascii="David" w:hAnsi="David" w:cs="David"/>
          <w:b/>
          <w:bCs/>
          <w:color w:val="000000"/>
          <w:sz w:val="24"/>
          <w:szCs w:val="24"/>
          <w:rtl/>
        </w:rPr>
        <w:t xml:space="preserve">לעיל, אני מחייב את הנתבעת בתשלום הסך של </w:t>
      </w:r>
      <w:r w:rsidRPr="002F4224">
        <w:rPr>
          <w:rFonts w:ascii="David" w:hAnsi="David" w:cs="David"/>
          <w:b/>
          <w:bCs/>
          <w:color w:val="000000"/>
          <w:sz w:val="24"/>
          <w:szCs w:val="24"/>
          <w:u w:val="single"/>
          <w:rtl/>
        </w:rPr>
        <w:t>60,000 ₪</w:t>
      </w:r>
      <w:r w:rsidRPr="002F4224">
        <w:rPr>
          <w:rFonts w:ascii="David" w:hAnsi="David" w:cs="David"/>
          <w:b/>
          <w:bCs/>
          <w:color w:val="000000"/>
          <w:sz w:val="24"/>
          <w:szCs w:val="24"/>
          <w:rtl/>
        </w:rPr>
        <w:t xml:space="preserve"> בתוספת הפרשי הצמדה וריבית כחוק מיום 21/3/2023 ועד למועד התשלום בפועל. בנוסף, אני מחייב את הנתבעת בתשלום הוצאות משפט ושכר טרחת עו"ד בסך של </w:t>
      </w:r>
      <w:r w:rsidRPr="002F4224">
        <w:rPr>
          <w:rFonts w:ascii="David" w:hAnsi="David" w:cs="David"/>
          <w:b/>
          <w:bCs/>
          <w:color w:val="000000"/>
          <w:sz w:val="24"/>
          <w:szCs w:val="24"/>
          <w:u w:val="single"/>
          <w:rtl/>
        </w:rPr>
        <w:t>20,000 ₪</w:t>
      </w:r>
      <w:r w:rsidRPr="002F4224">
        <w:rPr>
          <w:rFonts w:ascii="David" w:hAnsi="David" w:cs="David"/>
          <w:b/>
          <w:bCs/>
          <w:color w:val="000000"/>
          <w:sz w:val="24"/>
          <w:szCs w:val="24"/>
          <w:rtl/>
        </w:rPr>
        <w:t xml:space="preserve"> בתוספת הפרשי הצמדה וריבית כחוק ממועד פסק הדין ועד למועד התשלום בפועל. </w:t>
      </w:r>
    </w:p>
    <w:p w:rsidR="00694556" w:rsidRDefault="0043502B" w:rsidP="002F4224">
      <w:pPr>
        <w:spacing w:line="360" w:lineRule="auto"/>
        <w:ind w:left="-200"/>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r w:rsidR="00D54B61">
        <w:rPr>
          <w:rFonts w:hint="cs"/>
          <w:rtl/>
        </w:rPr>
        <w:t>ב</w:t>
      </w:r>
      <w:sdt>
        <w:sdtPr>
          <w:rPr>
            <w:rtl/>
          </w:rPr>
          <w:alias w:val="1455"/>
          <w:tag w:val="1455"/>
          <w:id w:val="1666048407"/>
          <w:text w:multiLine="1"/>
        </w:sdtPr>
        <w:sdtEndPr/>
        <w:sdtContent>
          <w:r>
            <w:rPr>
              <w:rFonts w:ascii="Arial" w:hAnsi="Arial"/>
              <w:noProof w:val="0"/>
              <w:rtl/>
            </w:rPr>
            <w:t>כ"ט כסלו תשפ"ה</w:t>
          </w:r>
        </w:sdtContent>
      </w:sdt>
      <w:r w:rsidR="00005C8B">
        <w:rPr>
          <w:rFonts w:ascii="Arial" w:hAnsi="Arial"/>
          <w:noProof w:val="0"/>
          <w:rtl/>
        </w:rPr>
        <w:t xml:space="preserve">, </w:t>
      </w:r>
      <w:r w:rsidR="00D54B61">
        <w:rPr>
          <w:rFonts w:ascii="Arial" w:hAnsi="Arial" w:hint="cs"/>
          <w:noProof w:val="0"/>
          <w:rtl/>
        </w:rPr>
        <w:t>ב</w:t>
      </w:r>
      <w:sdt>
        <w:sdtPr>
          <w:rPr>
            <w:rtl/>
          </w:rPr>
          <w:alias w:val="1456"/>
          <w:tag w:val="1456"/>
          <w:id w:val="-1186288958"/>
          <w:text w:multiLine="1"/>
        </w:sdtPr>
        <w:sdtEndPr/>
        <w:sdtContent>
          <w:r>
            <w:rPr>
              <w:rFonts w:ascii="Arial" w:hAnsi="Arial"/>
              <w:noProof w:val="0"/>
              <w:rtl/>
            </w:rPr>
            <w:t>30 דצמבר 2024</w:t>
          </w:r>
        </w:sdtContent>
      </w:sdt>
      <w:r w:rsidR="00005C8B">
        <w:rPr>
          <w:rFonts w:ascii="Arial" w:hAnsi="Arial"/>
          <w:noProof w:val="0"/>
          <w:rtl/>
        </w:rPr>
        <w:t>, בהעדר הצדדים.</w:t>
      </w:r>
    </w:p>
    <w:p w:rsidR="00C43648" w:rsidRDefault="00EF70B5"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399723747"/>
        </w:sdtPr>
        <w:sdtEndPr/>
        <w:sdtContent>
          <w:r w:rsidR="00EF70B5">
            <w:drawing>
              <wp:inline distT="0" distB="0" distL="0" distR="0" wp14:editId="50D07946">
                <wp:extent cx="1781175" cy="5048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781175" cy="50482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1D708C">
      <w:headerReference w:type="even" r:id="rId9"/>
      <w:headerReference w:type="default" r:id="rId10"/>
      <w:footerReference w:type="even" r:id="rId11"/>
      <w:footerReference w:type="default" r:id="rId12"/>
      <w:headerReference w:type="first" r:id="rId13"/>
      <w:footerReference w:type="first" r:id="rId14"/>
      <w:pgSz w:w="11907" w:h="16840" w:code="9"/>
      <w:pgMar w:top="1247" w:right="1588" w:bottom="1247" w:left="1588"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708C" w:rsidRDefault="001D708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386327" w:rsidRDefault="000C3B60">
    <w:pPr>
      <w:pStyle w:val="a4"/>
      <w:jc w:val="center"/>
      <w:rPr>
        <w:rStyle w:val="ab"/>
      </w:rPr>
    </w:pPr>
    <w:r w:rsidRPr="00386327">
      <w:rPr>
        <w:rStyle w:val="ab"/>
      </w:rPr>
      <w:fldChar w:fldCharType="begin"/>
    </w:r>
    <w:r w:rsidR="00005C8B" w:rsidRPr="00386327">
      <w:rPr>
        <w:rStyle w:val="ab"/>
      </w:rPr>
      <w:instrText xml:space="preserve"> PAGE </w:instrText>
    </w:r>
    <w:r w:rsidRPr="00386327">
      <w:rPr>
        <w:rStyle w:val="ab"/>
      </w:rPr>
      <w:fldChar w:fldCharType="separate"/>
    </w:r>
    <w:r w:rsidR="00EF70B5">
      <w:rPr>
        <w:rStyle w:val="ab"/>
        <w:rtl/>
      </w:rPr>
      <w:t>1</w:t>
    </w:r>
    <w:r w:rsidRPr="00386327">
      <w:rPr>
        <w:rStyle w:val="ab"/>
      </w:rPr>
      <w:fldChar w:fldCharType="end"/>
    </w:r>
    <w:r w:rsidR="00005C8B" w:rsidRPr="00386327">
      <w:rPr>
        <w:rStyle w:val="ab"/>
        <w:rFonts w:hint="cs"/>
        <w:rtl/>
      </w:rPr>
      <w:t xml:space="preserve"> מתוך </w:t>
    </w:r>
    <w:r w:rsidRPr="00386327">
      <w:rPr>
        <w:rStyle w:val="ab"/>
      </w:rPr>
      <w:fldChar w:fldCharType="begin"/>
    </w:r>
    <w:r w:rsidR="00005C8B" w:rsidRPr="00386327">
      <w:rPr>
        <w:rStyle w:val="ab"/>
      </w:rPr>
      <w:instrText xml:space="preserve"> NUMPAGES </w:instrText>
    </w:r>
    <w:r w:rsidRPr="00386327">
      <w:rPr>
        <w:rStyle w:val="ab"/>
      </w:rPr>
      <w:fldChar w:fldCharType="separate"/>
    </w:r>
    <w:r w:rsidR="00EF70B5">
      <w:rPr>
        <w:rStyle w:val="ab"/>
        <w:rtl/>
      </w:rPr>
      <w:t>17</w:t>
    </w:r>
    <w:r w:rsidRPr="00386327">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708C" w:rsidRDefault="001D708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708C" w:rsidRDefault="001D708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8B64619" wp14:editId="63AC1D2C">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1C5573">
      <w:trPr>
        <w:trHeight w:hRule="exact" w:val="510"/>
        <w:jc w:val="center"/>
      </w:trPr>
      <w:sdt>
        <w:sdtPr>
          <w:rPr>
            <w:rFonts w:ascii="Tahoma" w:hAnsi="Tahoma"/>
            <w:b/>
            <w:bCs/>
            <w:color w:val="000080"/>
            <w:sz w:val="32"/>
            <w:szCs w:val="32"/>
            <w:rtl/>
          </w:rPr>
          <w:alias w:val="1174"/>
          <w:tag w:val="1174"/>
          <w:id w:val="-1585920285"/>
          <w:text w:multiLine="1"/>
        </w:sdtPr>
        <w:sdtEndPr/>
        <w:sdtContent>
          <w:tc>
            <w:tcPr>
              <w:tcW w:w="8505" w:type="dxa"/>
            </w:tcPr>
            <w:p w:rsidR="001C5573" w:rsidRDefault="003D1C8C" w:rsidP="001C5573">
              <w:pPr>
                <w:pStyle w:val="a3"/>
                <w:jc w:val="center"/>
                <w:rPr>
                  <w:rFonts w:ascii="Tahoma" w:hAnsi="Tahoma"/>
                  <w:noProof w:val="0"/>
                  <w:color w:val="000080"/>
                  <w:sz w:val="32"/>
                  <w:szCs w:val="32"/>
                  <w:rtl/>
                </w:rPr>
              </w:pPr>
              <w:r w:rsidRPr="00FA4EAF">
                <w:rPr>
                  <w:rFonts w:ascii="Tahoma" w:hAnsi="Tahoma"/>
                  <w:b/>
                  <w:bCs/>
                  <w:color w:val="000080"/>
                  <w:sz w:val="32"/>
                  <w:szCs w:val="32"/>
                  <w:rtl/>
                </w:rPr>
                <w:t>בית משפט השלום בתל אביב -יפו</w:t>
              </w:r>
            </w:p>
            <w:p w:rsidR="00694556" w:rsidRPr="001C5573" w:rsidRDefault="00694556" w:rsidP="001C5573">
              <w:pPr>
                <w:tabs>
                  <w:tab w:val="left" w:pos="1421"/>
                </w:tabs>
                <w:rPr>
                  <w:rtl/>
                </w:rPr>
              </w:pPr>
            </w:p>
          </w:tc>
        </w:sdtContent>
      </w:sdt>
    </w:tr>
    <w:tr w:rsidR="00694556" w:rsidRPr="00FA4EAF" w:rsidTr="001C5573">
      <w:trPr>
        <w:trHeight w:val="337"/>
        <w:jc w:val="center"/>
      </w:trPr>
      <w:tc>
        <w:tcPr>
          <w:tcW w:w="8505" w:type="dxa"/>
        </w:tcPr>
        <w:p w:rsidR="007D45E3" w:rsidRPr="00FA4EAF" w:rsidRDefault="00EF70B5" w:rsidP="001D708C">
          <w:pPr>
            <w:rPr>
              <w:b/>
              <w:bCs/>
              <w:noProof w:val="0"/>
              <w:sz w:val="26"/>
              <w:szCs w:val="26"/>
              <w:rtl/>
            </w:rPr>
          </w:pPr>
          <w:sdt>
            <w:sdtPr>
              <w:rPr>
                <w:sz w:val="26"/>
                <w:szCs w:val="26"/>
                <w:rtl/>
              </w:rPr>
              <w:alias w:val="1170"/>
              <w:tag w:val="1170"/>
              <w:id w:val="1066377040"/>
              <w:text w:multiLine="1"/>
            </w:sdtPr>
            <w:sdtEndPr/>
            <w:sdtContent>
              <w:r w:rsidR="0016615E">
                <w:rPr>
                  <w:b/>
                  <w:bCs/>
                  <w:noProof w:val="0"/>
                  <w:sz w:val="26"/>
                  <w:szCs w:val="26"/>
                  <w:rtl/>
                </w:rPr>
                <w:t>תא</w:t>
              </w:r>
            </w:sdtContent>
          </w:sdt>
          <w:r w:rsidR="00005C8B" w:rsidRPr="00FA4EAF">
            <w:rPr>
              <w:b/>
              <w:bCs/>
              <w:noProof w:val="0"/>
              <w:sz w:val="26"/>
              <w:szCs w:val="26"/>
              <w:rtl/>
            </w:rPr>
            <w:t xml:space="preserve"> </w:t>
          </w:r>
          <w:bookmarkStart w:id="1" w:name="_GoBack"/>
          <w:sdt>
            <w:sdtPr>
              <w:rPr>
                <w:sz w:val="26"/>
                <w:szCs w:val="26"/>
                <w:rtl/>
              </w:rPr>
              <w:alias w:val="1171"/>
              <w:tag w:val="1171"/>
              <w:id w:val="257034231"/>
              <w:text w:multiLine="1"/>
            </w:sdtPr>
            <w:sdtEndPr/>
            <w:sdtContent>
              <w:r w:rsidR="0016615E">
                <w:rPr>
                  <w:b/>
                  <w:bCs/>
                  <w:noProof w:val="0"/>
                  <w:sz w:val="26"/>
                  <w:szCs w:val="26"/>
                  <w:rtl/>
                </w:rPr>
                <w:t>51672-03-23</w:t>
              </w:r>
            </w:sdtContent>
          </w:sdt>
          <w:bookmarkEnd w:id="1"/>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16615E">
                <w:rPr>
                  <w:b/>
                  <w:bCs/>
                  <w:noProof w:val="0"/>
                  <w:sz w:val="26"/>
                  <w:szCs w:val="26"/>
                  <w:rtl/>
                </w:rPr>
                <w:t>ברס נ' עיריית בני ברק</w:t>
              </w:r>
            </w:sdtContent>
          </w:sdt>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708C" w:rsidRDefault="001D708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06B51"/>
    <w:multiLevelType w:val="hybridMultilevel"/>
    <w:tmpl w:val="8556A128"/>
    <w:lvl w:ilvl="0" w:tplc="92CAD262">
      <w:start w:val="1"/>
      <w:numFmt w:val="hebrew1"/>
      <w:lvlText w:val="(%1)"/>
      <w:lvlJc w:val="left"/>
      <w:pPr>
        <w:ind w:left="755" w:hanging="360"/>
      </w:pPr>
    </w:lvl>
    <w:lvl w:ilvl="1" w:tplc="04090019">
      <w:start w:val="1"/>
      <w:numFmt w:val="lowerLetter"/>
      <w:lvlText w:val="%2."/>
      <w:lvlJc w:val="left"/>
      <w:pPr>
        <w:ind w:left="1475" w:hanging="360"/>
      </w:pPr>
    </w:lvl>
    <w:lvl w:ilvl="2" w:tplc="0409001B">
      <w:start w:val="1"/>
      <w:numFmt w:val="lowerRoman"/>
      <w:lvlText w:val="%3."/>
      <w:lvlJc w:val="right"/>
      <w:pPr>
        <w:ind w:left="2195" w:hanging="180"/>
      </w:pPr>
    </w:lvl>
    <w:lvl w:ilvl="3" w:tplc="0409000F">
      <w:start w:val="1"/>
      <w:numFmt w:val="decimal"/>
      <w:lvlText w:val="%4."/>
      <w:lvlJc w:val="left"/>
      <w:pPr>
        <w:ind w:left="2915" w:hanging="360"/>
      </w:pPr>
    </w:lvl>
    <w:lvl w:ilvl="4" w:tplc="04090019">
      <w:start w:val="1"/>
      <w:numFmt w:val="lowerLetter"/>
      <w:lvlText w:val="%5."/>
      <w:lvlJc w:val="left"/>
      <w:pPr>
        <w:ind w:left="3635" w:hanging="360"/>
      </w:pPr>
    </w:lvl>
    <w:lvl w:ilvl="5" w:tplc="0409001B">
      <w:start w:val="1"/>
      <w:numFmt w:val="lowerRoman"/>
      <w:lvlText w:val="%6."/>
      <w:lvlJc w:val="right"/>
      <w:pPr>
        <w:ind w:left="4355" w:hanging="180"/>
      </w:pPr>
    </w:lvl>
    <w:lvl w:ilvl="6" w:tplc="0409000F">
      <w:start w:val="1"/>
      <w:numFmt w:val="decimal"/>
      <w:lvlText w:val="%7."/>
      <w:lvlJc w:val="left"/>
      <w:pPr>
        <w:ind w:left="5075" w:hanging="360"/>
      </w:pPr>
    </w:lvl>
    <w:lvl w:ilvl="7" w:tplc="04090019">
      <w:start w:val="1"/>
      <w:numFmt w:val="lowerLetter"/>
      <w:lvlText w:val="%8."/>
      <w:lvlJc w:val="left"/>
      <w:pPr>
        <w:ind w:left="5795" w:hanging="360"/>
      </w:pPr>
    </w:lvl>
    <w:lvl w:ilvl="8" w:tplc="0409001B">
      <w:start w:val="1"/>
      <w:numFmt w:val="lowerRoman"/>
      <w:lvlText w:val="%9."/>
      <w:lvlJc w:val="right"/>
      <w:pPr>
        <w:ind w:left="6515" w:hanging="180"/>
      </w:pPr>
    </w:lvl>
  </w:abstractNum>
  <w:abstractNum w:abstractNumId="1" w15:restartNumberingAfterBreak="0">
    <w:nsid w:val="16502E49"/>
    <w:multiLevelType w:val="multilevel"/>
    <w:tmpl w:val="EE329E3C"/>
    <w:lvl w:ilvl="0">
      <w:start w:val="1"/>
      <w:numFmt w:val="decimal"/>
      <w:lvlText w:val="%1."/>
      <w:lvlJc w:val="left"/>
      <w:pPr>
        <w:ind w:left="720" w:hanging="360"/>
      </w:pPr>
    </w:lvl>
    <w:lvl w:ilvl="1">
      <w:start w:val="1"/>
      <w:numFmt w:val="decimal"/>
      <w:isLgl/>
      <w:lvlText w:val="%1.%2"/>
      <w:lvlJc w:val="left"/>
      <w:pPr>
        <w:ind w:left="1069" w:hanging="360"/>
      </w:pPr>
      <w:rPr>
        <w:b w:val="0"/>
        <w:bCs w:val="0"/>
        <w:lang w:val="en-US" w:bidi="he-IL"/>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600" w:hanging="108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abstractNum w:abstractNumId="2" w15:restartNumberingAfterBreak="0">
    <w:nsid w:val="1E1672DC"/>
    <w:multiLevelType w:val="hybridMultilevel"/>
    <w:tmpl w:val="E7D80D94"/>
    <w:lvl w:ilvl="0" w:tplc="3CC24C2E">
      <w:start w:val="1"/>
      <w:numFmt w:val="hebrew1"/>
      <w:lvlText w:val="(%1)"/>
      <w:lvlJc w:val="left"/>
      <w:pPr>
        <w:ind w:left="755" w:hanging="360"/>
      </w:pPr>
    </w:lvl>
    <w:lvl w:ilvl="1" w:tplc="04090019">
      <w:start w:val="1"/>
      <w:numFmt w:val="lowerLetter"/>
      <w:lvlText w:val="%2."/>
      <w:lvlJc w:val="left"/>
      <w:pPr>
        <w:ind w:left="1475" w:hanging="360"/>
      </w:pPr>
    </w:lvl>
    <w:lvl w:ilvl="2" w:tplc="0409001B">
      <w:start w:val="1"/>
      <w:numFmt w:val="lowerRoman"/>
      <w:lvlText w:val="%3."/>
      <w:lvlJc w:val="right"/>
      <w:pPr>
        <w:ind w:left="2195" w:hanging="180"/>
      </w:pPr>
    </w:lvl>
    <w:lvl w:ilvl="3" w:tplc="0409000F">
      <w:start w:val="1"/>
      <w:numFmt w:val="decimal"/>
      <w:lvlText w:val="%4."/>
      <w:lvlJc w:val="left"/>
      <w:pPr>
        <w:ind w:left="2915" w:hanging="360"/>
      </w:pPr>
    </w:lvl>
    <w:lvl w:ilvl="4" w:tplc="04090019">
      <w:start w:val="1"/>
      <w:numFmt w:val="lowerLetter"/>
      <w:lvlText w:val="%5."/>
      <w:lvlJc w:val="left"/>
      <w:pPr>
        <w:ind w:left="3635" w:hanging="360"/>
      </w:pPr>
    </w:lvl>
    <w:lvl w:ilvl="5" w:tplc="0409001B">
      <w:start w:val="1"/>
      <w:numFmt w:val="lowerRoman"/>
      <w:lvlText w:val="%6."/>
      <w:lvlJc w:val="right"/>
      <w:pPr>
        <w:ind w:left="4355" w:hanging="180"/>
      </w:pPr>
    </w:lvl>
    <w:lvl w:ilvl="6" w:tplc="0409000F">
      <w:start w:val="1"/>
      <w:numFmt w:val="decimal"/>
      <w:lvlText w:val="%7."/>
      <w:lvlJc w:val="left"/>
      <w:pPr>
        <w:ind w:left="5075" w:hanging="360"/>
      </w:pPr>
    </w:lvl>
    <w:lvl w:ilvl="7" w:tplc="04090019">
      <w:start w:val="1"/>
      <w:numFmt w:val="lowerLetter"/>
      <w:lvlText w:val="%8."/>
      <w:lvlJc w:val="left"/>
      <w:pPr>
        <w:ind w:left="5795" w:hanging="360"/>
      </w:pPr>
    </w:lvl>
    <w:lvl w:ilvl="8" w:tplc="0409001B">
      <w:start w:val="1"/>
      <w:numFmt w:val="lowerRoman"/>
      <w:lvlText w:val="%9."/>
      <w:lvlJc w:val="right"/>
      <w:pPr>
        <w:ind w:left="6515" w:hanging="180"/>
      </w:pPr>
    </w:lvl>
  </w:abstractNum>
  <w:abstractNum w:abstractNumId="3" w15:restartNumberingAfterBreak="0">
    <w:nsid w:val="1E2D6876"/>
    <w:multiLevelType w:val="hybridMultilevel"/>
    <w:tmpl w:val="B7AA8D52"/>
    <w:lvl w:ilvl="0" w:tplc="301AB96A">
      <w:start w:val="1"/>
      <w:numFmt w:val="hebrew1"/>
      <w:lvlText w:val="(%1)"/>
      <w:lvlJc w:val="left"/>
      <w:pPr>
        <w:ind w:left="755" w:hanging="360"/>
      </w:pPr>
    </w:lvl>
    <w:lvl w:ilvl="1" w:tplc="04090019">
      <w:start w:val="1"/>
      <w:numFmt w:val="lowerLetter"/>
      <w:lvlText w:val="%2."/>
      <w:lvlJc w:val="left"/>
      <w:pPr>
        <w:ind w:left="1475" w:hanging="360"/>
      </w:pPr>
    </w:lvl>
    <w:lvl w:ilvl="2" w:tplc="0409001B">
      <w:start w:val="1"/>
      <w:numFmt w:val="lowerRoman"/>
      <w:lvlText w:val="%3."/>
      <w:lvlJc w:val="right"/>
      <w:pPr>
        <w:ind w:left="2195" w:hanging="180"/>
      </w:pPr>
    </w:lvl>
    <w:lvl w:ilvl="3" w:tplc="0409000F">
      <w:start w:val="1"/>
      <w:numFmt w:val="decimal"/>
      <w:lvlText w:val="%4."/>
      <w:lvlJc w:val="left"/>
      <w:pPr>
        <w:ind w:left="2915" w:hanging="360"/>
      </w:pPr>
    </w:lvl>
    <w:lvl w:ilvl="4" w:tplc="04090019">
      <w:start w:val="1"/>
      <w:numFmt w:val="lowerLetter"/>
      <w:lvlText w:val="%5."/>
      <w:lvlJc w:val="left"/>
      <w:pPr>
        <w:ind w:left="3635" w:hanging="360"/>
      </w:pPr>
    </w:lvl>
    <w:lvl w:ilvl="5" w:tplc="0409001B">
      <w:start w:val="1"/>
      <w:numFmt w:val="lowerRoman"/>
      <w:lvlText w:val="%6."/>
      <w:lvlJc w:val="right"/>
      <w:pPr>
        <w:ind w:left="4355" w:hanging="180"/>
      </w:pPr>
    </w:lvl>
    <w:lvl w:ilvl="6" w:tplc="0409000F">
      <w:start w:val="1"/>
      <w:numFmt w:val="decimal"/>
      <w:lvlText w:val="%7."/>
      <w:lvlJc w:val="left"/>
      <w:pPr>
        <w:ind w:left="5075" w:hanging="360"/>
      </w:pPr>
    </w:lvl>
    <w:lvl w:ilvl="7" w:tplc="04090019">
      <w:start w:val="1"/>
      <w:numFmt w:val="lowerLetter"/>
      <w:lvlText w:val="%8."/>
      <w:lvlJc w:val="left"/>
      <w:pPr>
        <w:ind w:left="5795" w:hanging="360"/>
      </w:pPr>
    </w:lvl>
    <w:lvl w:ilvl="8" w:tplc="0409001B">
      <w:start w:val="1"/>
      <w:numFmt w:val="lowerRoman"/>
      <w:lvlText w:val="%9."/>
      <w:lvlJc w:val="right"/>
      <w:pPr>
        <w:ind w:left="6515" w:hanging="180"/>
      </w:pPr>
    </w:lvl>
  </w:abstractNum>
  <w:abstractNum w:abstractNumId="4" w15:restartNumberingAfterBreak="0">
    <w:nsid w:val="2BD95F91"/>
    <w:multiLevelType w:val="hybridMultilevel"/>
    <w:tmpl w:val="C93ECFD8"/>
    <w:lvl w:ilvl="0" w:tplc="CA34AB78">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2DDD212A"/>
    <w:multiLevelType w:val="hybridMultilevel"/>
    <w:tmpl w:val="6382D350"/>
    <w:lvl w:ilvl="0" w:tplc="73284B2C">
      <w:start w:val="1"/>
      <w:numFmt w:val="hebrew1"/>
      <w:lvlText w:val="(%1)"/>
      <w:lvlJc w:val="left"/>
      <w:pPr>
        <w:ind w:left="896" w:hanging="360"/>
      </w:pPr>
    </w:lvl>
    <w:lvl w:ilvl="1" w:tplc="04090019">
      <w:start w:val="1"/>
      <w:numFmt w:val="lowerLetter"/>
      <w:lvlText w:val="%2."/>
      <w:lvlJc w:val="left"/>
      <w:pPr>
        <w:ind w:left="1616" w:hanging="360"/>
      </w:pPr>
    </w:lvl>
    <w:lvl w:ilvl="2" w:tplc="0409001B">
      <w:start w:val="1"/>
      <w:numFmt w:val="lowerRoman"/>
      <w:lvlText w:val="%3."/>
      <w:lvlJc w:val="right"/>
      <w:pPr>
        <w:ind w:left="2336" w:hanging="180"/>
      </w:pPr>
    </w:lvl>
    <w:lvl w:ilvl="3" w:tplc="0409000F">
      <w:start w:val="1"/>
      <w:numFmt w:val="decimal"/>
      <w:lvlText w:val="%4."/>
      <w:lvlJc w:val="left"/>
      <w:pPr>
        <w:ind w:left="3056" w:hanging="360"/>
      </w:pPr>
    </w:lvl>
    <w:lvl w:ilvl="4" w:tplc="04090019">
      <w:start w:val="1"/>
      <w:numFmt w:val="lowerLetter"/>
      <w:lvlText w:val="%5."/>
      <w:lvlJc w:val="left"/>
      <w:pPr>
        <w:ind w:left="3776" w:hanging="360"/>
      </w:pPr>
    </w:lvl>
    <w:lvl w:ilvl="5" w:tplc="0409001B">
      <w:start w:val="1"/>
      <w:numFmt w:val="lowerRoman"/>
      <w:lvlText w:val="%6."/>
      <w:lvlJc w:val="right"/>
      <w:pPr>
        <w:ind w:left="4496" w:hanging="180"/>
      </w:pPr>
    </w:lvl>
    <w:lvl w:ilvl="6" w:tplc="0409000F">
      <w:start w:val="1"/>
      <w:numFmt w:val="decimal"/>
      <w:lvlText w:val="%7."/>
      <w:lvlJc w:val="left"/>
      <w:pPr>
        <w:ind w:left="5216" w:hanging="360"/>
      </w:pPr>
    </w:lvl>
    <w:lvl w:ilvl="7" w:tplc="04090019">
      <w:start w:val="1"/>
      <w:numFmt w:val="lowerLetter"/>
      <w:lvlText w:val="%8."/>
      <w:lvlJc w:val="left"/>
      <w:pPr>
        <w:ind w:left="5936" w:hanging="360"/>
      </w:pPr>
    </w:lvl>
    <w:lvl w:ilvl="8" w:tplc="0409001B">
      <w:start w:val="1"/>
      <w:numFmt w:val="lowerRoman"/>
      <w:lvlText w:val="%9."/>
      <w:lvlJc w:val="right"/>
      <w:pPr>
        <w:ind w:left="6656" w:hanging="180"/>
      </w:pPr>
    </w:lvl>
  </w:abstractNum>
  <w:abstractNum w:abstractNumId="6" w15:restartNumberingAfterBreak="0">
    <w:nsid w:val="4FB476D9"/>
    <w:multiLevelType w:val="hybridMultilevel"/>
    <w:tmpl w:val="205E2168"/>
    <w:lvl w:ilvl="0" w:tplc="8A6CEE00">
      <w:start w:val="1"/>
      <w:numFmt w:val="hebrew1"/>
      <w:lvlText w:val="(%1)"/>
      <w:lvlJc w:val="left"/>
      <w:pPr>
        <w:ind w:left="755" w:hanging="360"/>
      </w:pPr>
    </w:lvl>
    <w:lvl w:ilvl="1" w:tplc="04090019">
      <w:start w:val="1"/>
      <w:numFmt w:val="lowerLetter"/>
      <w:lvlText w:val="%2."/>
      <w:lvlJc w:val="left"/>
      <w:pPr>
        <w:ind w:left="1475" w:hanging="360"/>
      </w:pPr>
    </w:lvl>
    <w:lvl w:ilvl="2" w:tplc="0409001B">
      <w:start w:val="1"/>
      <w:numFmt w:val="lowerRoman"/>
      <w:lvlText w:val="%3."/>
      <w:lvlJc w:val="right"/>
      <w:pPr>
        <w:ind w:left="2195" w:hanging="180"/>
      </w:pPr>
    </w:lvl>
    <w:lvl w:ilvl="3" w:tplc="0409000F">
      <w:start w:val="1"/>
      <w:numFmt w:val="decimal"/>
      <w:lvlText w:val="%4."/>
      <w:lvlJc w:val="left"/>
      <w:pPr>
        <w:ind w:left="2915" w:hanging="360"/>
      </w:pPr>
    </w:lvl>
    <w:lvl w:ilvl="4" w:tplc="04090019">
      <w:start w:val="1"/>
      <w:numFmt w:val="lowerLetter"/>
      <w:lvlText w:val="%5."/>
      <w:lvlJc w:val="left"/>
      <w:pPr>
        <w:ind w:left="3635" w:hanging="360"/>
      </w:pPr>
    </w:lvl>
    <w:lvl w:ilvl="5" w:tplc="0409001B">
      <w:start w:val="1"/>
      <w:numFmt w:val="lowerRoman"/>
      <w:lvlText w:val="%6."/>
      <w:lvlJc w:val="right"/>
      <w:pPr>
        <w:ind w:left="4355" w:hanging="180"/>
      </w:pPr>
    </w:lvl>
    <w:lvl w:ilvl="6" w:tplc="0409000F">
      <w:start w:val="1"/>
      <w:numFmt w:val="decimal"/>
      <w:lvlText w:val="%7."/>
      <w:lvlJc w:val="left"/>
      <w:pPr>
        <w:ind w:left="5075" w:hanging="360"/>
      </w:pPr>
    </w:lvl>
    <w:lvl w:ilvl="7" w:tplc="04090019">
      <w:start w:val="1"/>
      <w:numFmt w:val="lowerLetter"/>
      <w:lvlText w:val="%8."/>
      <w:lvlJc w:val="left"/>
      <w:pPr>
        <w:ind w:left="5795" w:hanging="360"/>
      </w:pPr>
    </w:lvl>
    <w:lvl w:ilvl="8" w:tplc="0409001B">
      <w:start w:val="1"/>
      <w:numFmt w:val="lowerRoman"/>
      <w:lvlText w:val="%9."/>
      <w:lvlJc w:val="right"/>
      <w:pPr>
        <w:ind w:left="6515" w:hanging="180"/>
      </w:pPr>
    </w:lvl>
  </w:abstractNum>
  <w:abstractNum w:abstractNumId="7" w15:restartNumberingAfterBreak="0">
    <w:nsid w:val="564E2CC0"/>
    <w:multiLevelType w:val="hybridMultilevel"/>
    <w:tmpl w:val="35FED436"/>
    <w:lvl w:ilvl="0" w:tplc="2408ACD6">
      <w:start w:val="1"/>
      <w:numFmt w:val="hebrew1"/>
      <w:lvlText w:val="(%1)"/>
      <w:lvlJc w:val="left"/>
      <w:pPr>
        <w:ind w:left="755" w:hanging="360"/>
      </w:pPr>
    </w:lvl>
    <w:lvl w:ilvl="1" w:tplc="04090019">
      <w:start w:val="1"/>
      <w:numFmt w:val="lowerLetter"/>
      <w:lvlText w:val="%2."/>
      <w:lvlJc w:val="left"/>
      <w:pPr>
        <w:ind w:left="1475" w:hanging="360"/>
      </w:pPr>
    </w:lvl>
    <w:lvl w:ilvl="2" w:tplc="0409001B">
      <w:start w:val="1"/>
      <w:numFmt w:val="lowerRoman"/>
      <w:lvlText w:val="%3."/>
      <w:lvlJc w:val="right"/>
      <w:pPr>
        <w:ind w:left="2195" w:hanging="180"/>
      </w:pPr>
    </w:lvl>
    <w:lvl w:ilvl="3" w:tplc="0409000F">
      <w:start w:val="1"/>
      <w:numFmt w:val="decimal"/>
      <w:lvlText w:val="%4."/>
      <w:lvlJc w:val="left"/>
      <w:pPr>
        <w:ind w:left="2915" w:hanging="360"/>
      </w:pPr>
    </w:lvl>
    <w:lvl w:ilvl="4" w:tplc="04090019">
      <w:start w:val="1"/>
      <w:numFmt w:val="lowerLetter"/>
      <w:lvlText w:val="%5."/>
      <w:lvlJc w:val="left"/>
      <w:pPr>
        <w:ind w:left="3635" w:hanging="360"/>
      </w:pPr>
    </w:lvl>
    <w:lvl w:ilvl="5" w:tplc="0409001B">
      <w:start w:val="1"/>
      <w:numFmt w:val="lowerRoman"/>
      <w:lvlText w:val="%6."/>
      <w:lvlJc w:val="right"/>
      <w:pPr>
        <w:ind w:left="4355" w:hanging="180"/>
      </w:pPr>
    </w:lvl>
    <w:lvl w:ilvl="6" w:tplc="0409000F">
      <w:start w:val="1"/>
      <w:numFmt w:val="decimal"/>
      <w:lvlText w:val="%7."/>
      <w:lvlJc w:val="left"/>
      <w:pPr>
        <w:ind w:left="5075" w:hanging="360"/>
      </w:pPr>
    </w:lvl>
    <w:lvl w:ilvl="7" w:tplc="04090019">
      <w:start w:val="1"/>
      <w:numFmt w:val="lowerLetter"/>
      <w:lvlText w:val="%8."/>
      <w:lvlJc w:val="left"/>
      <w:pPr>
        <w:ind w:left="5795" w:hanging="360"/>
      </w:pPr>
    </w:lvl>
    <w:lvl w:ilvl="8" w:tplc="0409001B">
      <w:start w:val="1"/>
      <w:numFmt w:val="lowerRoman"/>
      <w:lvlText w:val="%9."/>
      <w:lvlJc w:val="right"/>
      <w:pPr>
        <w:ind w:left="6515" w:hanging="180"/>
      </w:pPr>
    </w:lvl>
  </w:abstractNum>
  <w:abstractNum w:abstractNumId="8" w15:restartNumberingAfterBreak="0">
    <w:nsid w:val="5B447D92"/>
    <w:multiLevelType w:val="hybridMultilevel"/>
    <w:tmpl w:val="A3A450FE"/>
    <w:lvl w:ilvl="0" w:tplc="A648A8D0">
      <w:start w:val="1"/>
      <w:numFmt w:val="hebrew1"/>
      <w:lvlText w:val="(%1)"/>
      <w:lvlJc w:val="left"/>
      <w:pPr>
        <w:ind w:left="755" w:hanging="360"/>
      </w:pPr>
    </w:lvl>
    <w:lvl w:ilvl="1" w:tplc="04090019">
      <w:start w:val="1"/>
      <w:numFmt w:val="lowerLetter"/>
      <w:lvlText w:val="%2."/>
      <w:lvlJc w:val="left"/>
      <w:pPr>
        <w:ind w:left="1475" w:hanging="360"/>
      </w:pPr>
    </w:lvl>
    <w:lvl w:ilvl="2" w:tplc="0409001B">
      <w:start w:val="1"/>
      <w:numFmt w:val="lowerRoman"/>
      <w:lvlText w:val="%3."/>
      <w:lvlJc w:val="right"/>
      <w:pPr>
        <w:ind w:left="2195" w:hanging="180"/>
      </w:pPr>
    </w:lvl>
    <w:lvl w:ilvl="3" w:tplc="0409000F">
      <w:start w:val="1"/>
      <w:numFmt w:val="decimal"/>
      <w:lvlText w:val="%4."/>
      <w:lvlJc w:val="left"/>
      <w:pPr>
        <w:ind w:left="2915" w:hanging="360"/>
      </w:pPr>
    </w:lvl>
    <w:lvl w:ilvl="4" w:tplc="04090019">
      <w:start w:val="1"/>
      <w:numFmt w:val="lowerLetter"/>
      <w:lvlText w:val="%5."/>
      <w:lvlJc w:val="left"/>
      <w:pPr>
        <w:ind w:left="3635" w:hanging="360"/>
      </w:pPr>
    </w:lvl>
    <w:lvl w:ilvl="5" w:tplc="0409001B">
      <w:start w:val="1"/>
      <w:numFmt w:val="lowerRoman"/>
      <w:lvlText w:val="%6."/>
      <w:lvlJc w:val="right"/>
      <w:pPr>
        <w:ind w:left="4355" w:hanging="180"/>
      </w:pPr>
    </w:lvl>
    <w:lvl w:ilvl="6" w:tplc="0409000F">
      <w:start w:val="1"/>
      <w:numFmt w:val="decimal"/>
      <w:lvlText w:val="%7."/>
      <w:lvlJc w:val="left"/>
      <w:pPr>
        <w:ind w:left="5075" w:hanging="360"/>
      </w:pPr>
    </w:lvl>
    <w:lvl w:ilvl="7" w:tplc="04090019">
      <w:start w:val="1"/>
      <w:numFmt w:val="lowerLetter"/>
      <w:lvlText w:val="%8."/>
      <w:lvlJc w:val="left"/>
      <w:pPr>
        <w:ind w:left="5795" w:hanging="360"/>
      </w:pPr>
    </w:lvl>
    <w:lvl w:ilvl="8" w:tplc="0409001B">
      <w:start w:val="1"/>
      <w:numFmt w:val="lowerRoman"/>
      <w:lvlText w:val="%9."/>
      <w:lvlJc w:val="right"/>
      <w:pPr>
        <w:ind w:left="6515" w:hanging="180"/>
      </w:pPr>
    </w:lvl>
  </w:abstractNum>
  <w:abstractNum w:abstractNumId="9" w15:restartNumberingAfterBreak="0">
    <w:nsid w:val="5F38413E"/>
    <w:multiLevelType w:val="hybridMultilevel"/>
    <w:tmpl w:val="2C9CE498"/>
    <w:lvl w:ilvl="0" w:tplc="3A3EB0D4">
      <w:start w:val="1"/>
      <w:numFmt w:val="hebrew1"/>
      <w:lvlText w:val="(%1)"/>
      <w:lvlJc w:val="left"/>
      <w:pPr>
        <w:ind w:left="755" w:hanging="360"/>
      </w:pPr>
    </w:lvl>
    <w:lvl w:ilvl="1" w:tplc="04090019">
      <w:start w:val="1"/>
      <w:numFmt w:val="lowerLetter"/>
      <w:lvlText w:val="%2."/>
      <w:lvlJc w:val="left"/>
      <w:pPr>
        <w:ind w:left="1475" w:hanging="360"/>
      </w:pPr>
    </w:lvl>
    <w:lvl w:ilvl="2" w:tplc="0409001B">
      <w:start w:val="1"/>
      <w:numFmt w:val="lowerRoman"/>
      <w:lvlText w:val="%3."/>
      <w:lvlJc w:val="right"/>
      <w:pPr>
        <w:ind w:left="2195" w:hanging="180"/>
      </w:pPr>
    </w:lvl>
    <w:lvl w:ilvl="3" w:tplc="0409000F">
      <w:start w:val="1"/>
      <w:numFmt w:val="decimal"/>
      <w:lvlText w:val="%4."/>
      <w:lvlJc w:val="left"/>
      <w:pPr>
        <w:ind w:left="2915" w:hanging="360"/>
      </w:pPr>
    </w:lvl>
    <w:lvl w:ilvl="4" w:tplc="04090019">
      <w:start w:val="1"/>
      <w:numFmt w:val="lowerLetter"/>
      <w:lvlText w:val="%5."/>
      <w:lvlJc w:val="left"/>
      <w:pPr>
        <w:ind w:left="3635" w:hanging="360"/>
      </w:pPr>
    </w:lvl>
    <w:lvl w:ilvl="5" w:tplc="0409001B">
      <w:start w:val="1"/>
      <w:numFmt w:val="lowerRoman"/>
      <w:lvlText w:val="%6."/>
      <w:lvlJc w:val="right"/>
      <w:pPr>
        <w:ind w:left="4355" w:hanging="180"/>
      </w:pPr>
    </w:lvl>
    <w:lvl w:ilvl="6" w:tplc="0409000F">
      <w:start w:val="1"/>
      <w:numFmt w:val="decimal"/>
      <w:lvlText w:val="%7."/>
      <w:lvlJc w:val="left"/>
      <w:pPr>
        <w:ind w:left="5075" w:hanging="360"/>
      </w:pPr>
    </w:lvl>
    <w:lvl w:ilvl="7" w:tplc="04090019">
      <w:start w:val="1"/>
      <w:numFmt w:val="lowerLetter"/>
      <w:lvlText w:val="%8."/>
      <w:lvlJc w:val="left"/>
      <w:pPr>
        <w:ind w:left="5795" w:hanging="360"/>
      </w:pPr>
    </w:lvl>
    <w:lvl w:ilvl="8" w:tplc="0409001B">
      <w:start w:val="1"/>
      <w:numFmt w:val="lowerRoman"/>
      <w:lvlText w:val="%9."/>
      <w:lvlJc w:val="right"/>
      <w:pPr>
        <w:ind w:left="6515" w:hanging="180"/>
      </w:pPr>
    </w:lvl>
  </w:abstractNum>
  <w:abstractNum w:abstractNumId="10" w15:restartNumberingAfterBreak="0">
    <w:nsid w:val="66701982"/>
    <w:multiLevelType w:val="hybridMultilevel"/>
    <w:tmpl w:val="5F16491A"/>
    <w:lvl w:ilvl="0" w:tplc="50A65D30">
      <w:start w:val="1"/>
      <w:numFmt w:val="hebrew1"/>
      <w:lvlText w:val="(%1)"/>
      <w:lvlJc w:val="left"/>
      <w:pPr>
        <w:ind w:left="755" w:hanging="360"/>
      </w:pPr>
    </w:lvl>
    <w:lvl w:ilvl="1" w:tplc="04090019">
      <w:start w:val="1"/>
      <w:numFmt w:val="lowerLetter"/>
      <w:lvlText w:val="%2."/>
      <w:lvlJc w:val="left"/>
      <w:pPr>
        <w:ind w:left="1475" w:hanging="360"/>
      </w:pPr>
    </w:lvl>
    <w:lvl w:ilvl="2" w:tplc="0409001B">
      <w:start w:val="1"/>
      <w:numFmt w:val="lowerRoman"/>
      <w:lvlText w:val="%3."/>
      <w:lvlJc w:val="right"/>
      <w:pPr>
        <w:ind w:left="2195" w:hanging="180"/>
      </w:pPr>
    </w:lvl>
    <w:lvl w:ilvl="3" w:tplc="0409000F">
      <w:start w:val="1"/>
      <w:numFmt w:val="decimal"/>
      <w:lvlText w:val="%4."/>
      <w:lvlJc w:val="left"/>
      <w:pPr>
        <w:ind w:left="2915" w:hanging="360"/>
      </w:pPr>
    </w:lvl>
    <w:lvl w:ilvl="4" w:tplc="04090019">
      <w:start w:val="1"/>
      <w:numFmt w:val="lowerLetter"/>
      <w:lvlText w:val="%5."/>
      <w:lvlJc w:val="left"/>
      <w:pPr>
        <w:ind w:left="3635" w:hanging="360"/>
      </w:pPr>
    </w:lvl>
    <w:lvl w:ilvl="5" w:tplc="0409001B">
      <w:start w:val="1"/>
      <w:numFmt w:val="lowerRoman"/>
      <w:lvlText w:val="%6."/>
      <w:lvlJc w:val="right"/>
      <w:pPr>
        <w:ind w:left="4355" w:hanging="180"/>
      </w:pPr>
    </w:lvl>
    <w:lvl w:ilvl="6" w:tplc="0409000F">
      <w:start w:val="1"/>
      <w:numFmt w:val="decimal"/>
      <w:lvlText w:val="%7."/>
      <w:lvlJc w:val="left"/>
      <w:pPr>
        <w:ind w:left="5075" w:hanging="360"/>
      </w:pPr>
    </w:lvl>
    <w:lvl w:ilvl="7" w:tplc="04090019">
      <w:start w:val="1"/>
      <w:numFmt w:val="lowerLetter"/>
      <w:lvlText w:val="%8."/>
      <w:lvlJc w:val="left"/>
      <w:pPr>
        <w:ind w:left="5795" w:hanging="360"/>
      </w:pPr>
    </w:lvl>
    <w:lvl w:ilvl="8" w:tplc="0409001B">
      <w:start w:val="1"/>
      <w:numFmt w:val="lowerRoman"/>
      <w:lvlText w:val="%9."/>
      <w:lvlJc w:val="right"/>
      <w:pPr>
        <w:ind w:left="6515" w:hanging="180"/>
      </w:pPr>
    </w:lvl>
  </w:abstractNum>
  <w:abstractNum w:abstractNumId="11" w15:restartNumberingAfterBreak="0">
    <w:nsid w:val="6B113075"/>
    <w:multiLevelType w:val="hybridMultilevel"/>
    <w:tmpl w:val="1CC29BAC"/>
    <w:lvl w:ilvl="0" w:tplc="311C8306">
      <w:start w:val="1"/>
      <w:numFmt w:val="hebrew1"/>
      <w:lvlText w:val="(%1)"/>
      <w:lvlJc w:val="left"/>
      <w:pPr>
        <w:ind w:left="755" w:hanging="360"/>
      </w:pPr>
    </w:lvl>
    <w:lvl w:ilvl="1" w:tplc="04090019">
      <w:start w:val="1"/>
      <w:numFmt w:val="lowerLetter"/>
      <w:lvlText w:val="%2."/>
      <w:lvlJc w:val="left"/>
      <w:pPr>
        <w:ind w:left="1475" w:hanging="360"/>
      </w:pPr>
    </w:lvl>
    <w:lvl w:ilvl="2" w:tplc="0409001B">
      <w:start w:val="1"/>
      <w:numFmt w:val="lowerRoman"/>
      <w:lvlText w:val="%3."/>
      <w:lvlJc w:val="right"/>
      <w:pPr>
        <w:ind w:left="2195" w:hanging="180"/>
      </w:pPr>
    </w:lvl>
    <w:lvl w:ilvl="3" w:tplc="0409000F">
      <w:start w:val="1"/>
      <w:numFmt w:val="decimal"/>
      <w:lvlText w:val="%4."/>
      <w:lvlJc w:val="left"/>
      <w:pPr>
        <w:ind w:left="2915" w:hanging="360"/>
      </w:pPr>
    </w:lvl>
    <w:lvl w:ilvl="4" w:tplc="04090019">
      <w:start w:val="1"/>
      <w:numFmt w:val="lowerLetter"/>
      <w:lvlText w:val="%5."/>
      <w:lvlJc w:val="left"/>
      <w:pPr>
        <w:ind w:left="3635" w:hanging="360"/>
      </w:pPr>
    </w:lvl>
    <w:lvl w:ilvl="5" w:tplc="0409001B">
      <w:start w:val="1"/>
      <w:numFmt w:val="lowerRoman"/>
      <w:lvlText w:val="%6."/>
      <w:lvlJc w:val="right"/>
      <w:pPr>
        <w:ind w:left="4355" w:hanging="180"/>
      </w:pPr>
    </w:lvl>
    <w:lvl w:ilvl="6" w:tplc="0409000F">
      <w:start w:val="1"/>
      <w:numFmt w:val="decimal"/>
      <w:lvlText w:val="%7."/>
      <w:lvlJc w:val="left"/>
      <w:pPr>
        <w:ind w:left="5075" w:hanging="360"/>
      </w:pPr>
    </w:lvl>
    <w:lvl w:ilvl="7" w:tplc="04090019">
      <w:start w:val="1"/>
      <w:numFmt w:val="lowerLetter"/>
      <w:lvlText w:val="%8."/>
      <w:lvlJc w:val="left"/>
      <w:pPr>
        <w:ind w:left="5795" w:hanging="360"/>
      </w:pPr>
    </w:lvl>
    <w:lvl w:ilvl="8" w:tplc="0409001B">
      <w:start w:val="1"/>
      <w:numFmt w:val="lowerRoman"/>
      <w:lvlText w:val="%9."/>
      <w:lvlJc w:val="right"/>
      <w:pPr>
        <w:ind w:left="6515" w:hanging="180"/>
      </w:pPr>
    </w:lvl>
  </w:abstractNum>
  <w:abstractNum w:abstractNumId="12" w15:restartNumberingAfterBreak="0">
    <w:nsid w:val="7D8D6353"/>
    <w:multiLevelType w:val="hybridMultilevel"/>
    <w:tmpl w:val="5D224418"/>
    <w:lvl w:ilvl="0" w:tplc="E1422B3E">
      <w:start w:val="1"/>
      <w:numFmt w:val="bullet"/>
      <w:lvlText w:val="-"/>
      <w:lvlJc w:val="left"/>
      <w:pPr>
        <w:ind w:left="1115" w:hanging="360"/>
      </w:pPr>
      <w:rPr>
        <w:rFonts w:ascii="David" w:eastAsiaTheme="minorHAnsi" w:hAnsi="David" w:cs="David" w:hint="default"/>
      </w:rPr>
    </w:lvl>
    <w:lvl w:ilvl="1" w:tplc="04090003">
      <w:start w:val="1"/>
      <w:numFmt w:val="bullet"/>
      <w:lvlText w:val="o"/>
      <w:lvlJc w:val="left"/>
      <w:pPr>
        <w:ind w:left="1835" w:hanging="360"/>
      </w:pPr>
      <w:rPr>
        <w:rFonts w:ascii="Courier New" w:hAnsi="Courier New" w:cs="Courier New" w:hint="default"/>
      </w:rPr>
    </w:lvl>
    <w:lvl w:ilvl="2" w:tplc="04090005">
      <w:start w:val="1"/>
      <w:numFmt w:val="bullet"/>
      <w:lvlText w:val=""/>
      <w:lvlJc w:val="left"/>
      <w:pPr>
        <w:ind w:left="2555" w:hanging="360"/>
      </w:pPr>
      <w:rPr>
        <w:rFonts w:ascii="Wingdings" w:hAnsi="Wingdings" w:hint="default"/>
      </w:rPr>
    </w:lvl>
    <w:lvl w:ilvl="3" w:tplc="04090001">
      <w:start w:val="1"/>
      <w:numFmt w:val="bullet"/>
      <w:lvlText w:val=""/>
      <w:lvlJc w:val="left"/>
      <w:pPr>
        <w:ind w:left="3275" w:hanging="360"/>
      </w:pPr>
      <w:rPr>
        <w:rFonts w:ascii="Symbol" w:hAnsi="Symbol" w:hint="default"/>
      </w:rPr>
    </w:lvl>
    <w:lvl w:ilvl="4" w:tplc="04090003">
      <w:start w:val="1"/>
      <w:numFmt w:val="bullet"/>
      <w:lvlText w:val="o"/>
      <w:lvlJc w:val="left"/>
      <w:pPr>
        <w:ind w:left="3995" w:hanging="360"/>
      </w:pPr>
      <w:rPr>
        <w:rFonts w:ascii="Courier New" w:hAnsi="Courier New" w:cs="Courier New" w:hint="default"/>
      </w:rPr>
    </w:lvl>
    <w:lvl w:ilvl="5" w:tplc="04090005">
      <w:start w:val="1"/>
      <w:numFmt w:val="bullet"/>
      <w:lvlText w:val=""/>
      <w:lvlJc w:val="left"/>
      <w:pPr>
        <w:ind w:left="4715" w:hanging="360"/>
      </w:pPr>
      <w:rPr>
        <w:rFonts w:ascii="Wingdings" w:hAnsi="Wingdings" w:hint="default"/>
      </w:rPr>
    </w:lvl>
    <w:lvl w:ilvl="6" w:tplc="04090001">
      <w:start w:val="1"/>
      <w:numFmt w:val="bullet"/>
      <w:lvlText w:val=""/>
      <w:lvlJc w:val="left"/>
      <w:pPr>
        <w:ind w:left="5435" w:hanging="360"/>
      </w:pPr>
      <w:rPr>
        <w:rFonts w:ascii="Symbol" w:hAnsi="Symbol" w:hint="default"/>
      </w:rPr>
    </w:lvl>
    <w:lvl w:ilvl="7" w:tplc="04090003">
      <w:start w:val="1"/>
      <w:numFmt w:val="bullet"/>
      <w:lvlText w:val="o"/>
      <w:lvlJc w:val="left"/>
      <w:pPr>
        <w:ind w:left="6155" w:hanging="360"/>
      </w:pPr>
      <w:rPr>
        <w:rFonts w:ascii="Courier New" w:hAnsi="Courier New" w:cs="Courier New" w:hint="default"/>
      </w:rPr>
    </w:lvl>
    <w:lvl w:ilvl="8" w:tplc="04090005">
      <w:start w:val="1"/>
      <w:numFmt w:val="bullet"/>
      <w:lvlText w:val=""/>
      <w:lvlJc w:val="left"/>
      <w:pPr>
        <w:ind w:left="6875"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26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11BEE"/>
    <w:rsid w:val="0001404F"/>
    <w:rsid w:val="00040D07"/>
    <w:rsid w:val="000419B6"/>
    <w:rsid w:val="000529D2"/>
    <w:rsid w:val="000564AB"/>
    <w:rsid w:val="00064FBD"/>
    <w:rsid w:val="00082AB2"/>
    <w:rsid w:val="000906FE"/>
    <w:rsid w:val="00096AF7"/>
    <w:rsid w:val="000B344B"/>
    <w:rsid w:val="000C3B0F"/>
    <w:rsid w:val="000C3B60"/>
    <w:rsid w:val="000E0DD2"/>
    <w:rsid w:val="000E3AF1"/>
    <w:rsid w:val="000F0BC8"/>
    <w:rsid w:val="000F0DD6"/>
    <w:rsid w:val="00104E77"/>
    <w:rsid w:val="00107E6D"/>
    <w:rsid w:val="0011194C"/>
    <w:rsid w:val="0011424C"/>
    <w:rsid w:val="001173C6"/>
    <w:rsid w:val="001367BC"/>
    <w:rsid w:val="0014384E"/>
    <w:rsid w:val="00144D2A"/>
    <w:rsid w:val="0014653E"/>
    <w:rsid w:val="0016615E"/>
    <w:rsid w:val="00180519"/>
    <w:rsid w:val="00191C82"/>
    <w:rsid w:val="001C3FD7"/>
    <w:rsid w:val="001C4003"/>
    <w:rsid w:val="001C5573"/>
    <w:rsid w:val="001D3441"/>
    <w:rsid w:val="001D4DBF"/>
    <w:rsid w:val="001D708C"/>
    <w:rsid w:val="001E75CA"/>
    <w:rsid w:val="00204759"/>
    <w:rsid w:val="002265FF"/>
    <w:rsid w:val="0023596E"/>
    <w:rsid w:val="00271B56"/>
    <w:rsid w:val="00291593"/>
    <w:rsid w:val="002C344E"/>
    <w:rsid w:val="002D2705"/>
    <w:rsid w:val="002D7668"/>
    <w:rsid w:val="002E75E9"/>
    <w:rsid w:val="002F4224"/>
    <w:rsid w:val="002F75E2"/>
    <w:rsid w:val="00307A6A"/>
    <w:rsid w:val="00307C40"/>
    <w:rsid w:val="00314311"/>
    <w:rsid w:val="00320433"/>
    <w:rsid w:val="003230C7"/>
    <w:rsid w:val="00327E50"/>
    <w:rsid w:val="0033597A"/>
    <w:rsid w:val="00343D89"/>
    <w:rsid w:val="00354C8B"/>
    <w:rsid w:val="00362612"/>
    <w:rsid w:val="0036743F"/>
    <w:rsid w:val="003715DD"/>
    <w:rsid w:val="003763AB"/>
    <w:rsid w:val="003823E0"/>
    <w:rsid w:val="00386327"/>
    <w:rsid w:val="0039752E"/>
    <w:rsid w:val="003A2359"/>
    <w:rsid w:val="003A4521"/>
    <w:rsid w:val="003A5B6D"/>
    <w:rsid w:val="003D1C8C"/>
    <w:rsid w:val="0040096C"/>
    <w:rsid w:val="0041156C"/>
    <w:rsid w:val="00412553"/>
    <w:rsid w:val="00414F1F"/>
    <w:rsid w:val="0043125D"/>
    <w:rsid w:val="0043502B"/>
    <w:rsid w:val="004443AC"/>
    <w:rsid w:val="00451E28"/>
    <w:rsid w:val="00462C62"/>
    <w:rsid w:val="00465D36"/>
    <w:rsid w:val="0046729D"/>
    <w:rsid w:val="004C17EE"/>
    <w:rsid w:val="004C4BDF"/>
    <w:rsid w:val="004C7358"/>
    <w:rsid w:val="004D1187"/>
    <w:rsid w:val="004D1998"/>
    <w:rsid w:val="004D3AA0"/>
    <w:rsid w:val="004E1987"/>
    <w:rsid w:val="004E2E15"/>
    <w:rsid w:val="004E6E3C"/>
    <w:rsid w:val="00515093"/>
    <w:rsid w:val="00520898"/>
    <w:rsid w:val="00523621"/>
    <w:rsid w:val="00524986"/>
    <w:rsid w:val="005268F6"/>
    <w:rsid w:val="00534284"/>
    <w:rsid w:val="00540E67"/>
    <w:rsid w:val="0054494A"/>
    <w:rsid w:val="00547DB7"/>
    <w:rsid w:val="005F4F09"/>
    <w:rsid w:val="0061431B"/>
    <w:rsid w:val="00617CEE"/>
    <w:rsid w:val="00622BAA"/>
    <w:rsid w:val="006306CF"/>
    <w:rsid w:val="00640603"/>
    <w:rsid w:val="00644E9A"/>
    <w:rsid w:val="00671BD5"/>
    <w:rsid w:val="006805C1"/>
    <w:rsid w:val="006841E0"/>
    <w:rsid w:val="00686C21"/>
    <w:rsid w:val="00687D3F"/>
    <w:rsid w:val="006931C1"/>
    <w:rsid w:val="00694556"/>
    <w:rsid w:val="006C30C5"/>
    <w:rsid w:val="006D3B31"/>
    <w:rsid w:val="006E0D96"/>
    <w:rsid w:val="006E1A53"/>
    <w:rsid w:val="006F56E6"/>
    <w:rsid w:val="00704EDA"/>
    <w:rsid w:val="00721122"/>
    <w:rsid w:val="00744B1C"/>
    <w:rsid w:val="00753019"/>
    <w:rsid w:val="00754801"/>
    <w:rsid w:val="00795365"/>
    <w:rsid w:val="007A351D"/>
    <w:rsid w:val="007A52B3"/>
    <w:rsid w:val="007B0ADB"/>
    <w:rsid w:val="007B7765"/>
    <w:rsid w:val="007C5BDD"/>
    <w:rsid w:val="007C622D"/>
    <w:rsid w:val="007D45E3"/>
    <w:rsid w:val="007D7BAC"/>
    <w:rsid w:val="007E6115"/>
    <w:rsid w:val="007F09CE"/>
    <w:rsid w:val="007F4609"/>
    <w:rsid w:val="008176A1"/>
    <w:rsid w:val="00820005"/>
    <w:rsid w:val="00844318"/>
    <w:rsid w:val="00863F5D"/>
    <w:rsid w:val="00870890"/>
    <w:rsid w:val="00873602"/>
    <w:rsid w:val="00875D12"/>
    <w:rsid w:val="008800CD"/>
    <w:rsid w:val="0088479D"/>
    <w:rsid w:val="008924AB"/>
    <w:rsid w:val="00896889"/>
    <w:rsid w:val="00897713"/>
    <w:rsid w:val="008C5714"/>
    <w:rsid w:val="008C7A1D"/>
    <w:rsid w:val="008D10B2"/>
    <w:rsid w:val="008E3E78"/>
    <w:rsid w:val="00903896"/>
    <w:rsid w:val="00906F3D"/>
    <w:rsid w:val="00912A5E"/>
    <w:rsid w:val="0094424E"/>
    <w:rsid w:val="00954A70"/>
    <w:rsid w:val="00955642"/>
    <w:rsid w:val="009622DF"/>
    <w:rsid w:val="00967DFF"/>
    <w:rsid w:val="00994341"/>
    <w:rsid w:val="009B3732"/>
    <w:rsid w:val="009B4939"/>
    <w:rsid w:val="009D1A48"/>
    <w:rsid w:val="009E1CE7"/>
    <w:rsid w:val="009E4EA5"/>
    <w:rsid w:val="009E5DED"/>
    <w:rsid w:val="009F164B"/>
    <w:rsid w:val="009F323C"/>
    <w:rsid w:val="00A03128"/>
    <w:rsid w:val="00A3392B"/>
    <w:rsid w:val="00A413A4"/>
    <w:rsid w:val="00A673F7"/>
    <w:rsid w:val="00A94B64"/>
    <w:rsid w:val="00AA3229"/>
    <w:rsid w:val="00AA5158"/>
    <w:rsid w:val="00AA7596"/>
    <w:rsid w:val="00AB5E52"/>
    <w:rsid w:val="00AC3B02"/>
    <w:rsid w:val="00AC3B7B"/>
    <w:rsid w:val="00AC5209"/>
    <w:rsid w:val="00AD00A6"/>
    <w:rsid w:val="00AD4766"/>
    <w:rsid w:val="00AE211A"/>
    <w:rsid w:val="00AE729E"/>
    <w:rsid w:val="00AE7752"/>
    <w:rsid w:val="00AF65FD"/>
    <w:rsid w:val="00AF7FDA"/>
    <w:rsid w:val="00B02C76"/>
    <w:rsid w:val="00B244A6"/>
    <w:rsid w:val="00B37100"/>
    <w:rsid w:val="00B5356E"/>
    <w:rsid w:val="00B809AD"/>
    <w:rsid w:val="00B80CBD"/>
    <w:rsid w:val="00B86096"/>
    <w:rsid w:val="00B95A71"/>
    <w:rsid w:val="00B964D9"/>
    <w:rsid w:val="00BA0A7C"/>
    <w:rsid w:val="00BA517C"/>
    <w:rsid w:val="00BB3D05"/>
    <w:rsid w:val="00BB52D6"/>
    <w:rsid w:val="00BB73BE"/>
    <w:rsid w:val="00BC2D89"/>
    <w:rsid w:val="00BD6531"/>
    <w:rsid w:val="00BE05B2"/>
    <w:rsid w:val="00BF1908"/>
    <w:rsid w:val="00BF7F3B"/>
    <w:rsid w:val="00C22D93"/>
    <w:rsid w:val="00C31120"/>
    <w:rsid w:val="00C34482"/>
    <w:rsid w:val="00C43648"/>
    <w:rsid w:val="00C50A9F"/>
    <w:rsid w:val="00C53EB8"/>
    <w:rsid w:val="00C642FA"/>
    <w:rsid w:val="00C65565"/>
    <w:rsid w:val="00CC7622"/>
    <w:rsid w:val="00CD608F"/>
    <w:rsid w:val="00CF3111"/>
    <w:rsid w:val="00D02789"/>
    <w:rsid w:val="00D16378"/>
    <w:rsid w:val="00D27982"/>
    <w:rsid w:val="00D31D44"/>
    <w:rsid w:val="00D33B86"/>
    <w:rsid w:val="00D53924"/>
    <w:rsid w:val="00D54B61"/>
    <w:rsid w:val="00D55D0C"/>
    <w:rsid w:val="00D627CF"/>
    <w:rsid w:val="00D74378"/>
    <w:rsid w:val="00D96D8C"/>
    <w:rsid w:val="00DA6649"/>
    <w:rsid w:val="00DC1259"/>
    <w:rsid w:val="00DC1BD2"/>
    <w:rsid w:val="00DC2571"/>
    <w:rsid w:val="00DC487C"/>
    <w:rsid w:val="00DE6BF6"/>
    <w:rsid w:val="00E0578E"/>
    <w:rsid w:val="00E1068A"/>
    <w:rsid w:val="00E25884"/>
    <w:rsid w:val="00E25B55"/>
    <w:rsid w:val="00E31C2B"/>
    <w:rsid w:val="00E37181"/>
    <w:rsid w:val="00E5426A"/>
    <w:rsid w:val="00E54642"/>
    <w:rsid w:val="00E80CBE"/>
    <w:rsid w:val="00E87DA0"/>
    <w:rsid w:val="00E962E3"/>
    <w:rsid w:val="00EA581A"/>
    <w:rsid w:val="00EB0DDA"/>
    <w:rsid w:val="00EB23B9"/>
    <w:rsid w:val="00EB6C79"/>
    <w:rsid w:val="00EC37E9"/>
    <w:rsid w:val="00EF70B5"/>
    <w:rsid w:val="00F06995"/>
    <w:rsid w:val="00F13623"/>
    <w:rsid w:val="00F44D1D"/>
    <w:rsid w:val="00F84B6D"/>
    <w:rsid w:val="00FA4EAF"/>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26305"/>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1D708C"/>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listparagraph">
    <w:name w:val="listparagraph"/>
    <w:basedOn w:val="a"/>
    <w:uiPriority w:val="99"/>
    <w:rsid w:val="001D708C"/>
    <w:pPr>
      <w:spacing w:after="160" w:line="252" w:lineRule="auto"/>
      <w:ind w:left="720"/>
    </w:pPr>
    <w:rPr>
      <w:rFonts w:ascii="Calibri" w:hAnsi="Calibri" w:cs="Calibr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086508">
      <w:bodyDiv w:val="1"/>
      <w:marLeft w:val="0"/>
      <w:marRight w:val="0"/>
      <w:marTop w:val="0"/>
      <w:marBottom w:val="0"/>
      <w:divBdr>
        <w:top w:val="none" w:sz="0" w:space="0" w:color="auto"/>
        <w:left w:val="none" w:sz="0" w:space="0" w:color="auto"/>
        <w:bottom w:val="none" w:sz="0" w:space="0" w:color="auto"/>
        <w:right w:val="none" w:sz="0" w:space="0" w:color="auto"/>
      </w:divBdr>
    </w:div>
    <w:div w:id="411632813">
      <w:bodyDiv w:val="1"/>
      <w:marLeft w:val="0"/>
      <w:marRight w:val="0"/>
      <w:marTop w:val="0"/>
      <w:marBottom w:val="0"/>
      <w:divBdr>
        <w:top w:val="none" w:sz="0" w:space="0" w:color="auto"/>
        <w:left w:val="none" w:sz="0" w:space="0" w:color="auto"/>
        <w:bottom w:val="none" w:sz="0" w:space="0" w:color="auto"/>
        <w:right w:val="none" w:sz="0" w:space="0" w:color="auto"/>
      </w:divBdr>
    </w:div>
    <w:div w:id="448011800">
      <w:bodyDiv w:val="1"/>
      <w:marLeft w:val="0"/>
      <w:marRight w:val="0"/>
      <w:marTop w:val="0"/>
      <w:marBottom w:val="0"/>
      <w:divBdr>
        <w:top w:val="none" w:sz="0" w:space="0" w:color="auto"/>
        <w:left w:val="none" w:sz="0" w:space="0" w:color="auto"/>
        <w:bottom w:val="none" w:sz="0" w:space="0" w:color="auto"/>
        <w:right w:val="none" w:sz="0" w:space="0" w:color="auto"/>
      </w:divBdr>
    </w:div>
    <w:div w:id="997347098">
      <w:bodyDiv w:val="1"/>
      <w:marLeft w:val="0"/>
      <w:marRight w:val="0"/>
      <w:marTop w:val="0"/>
      <w:marBottom w:val="0"/>
      <w:divBdr>
        <w:top w:val="none" w:sz="0" w:space="0" w:color="auto"/>
        <w:left w:val="none" w:sz="0" w:space="0" w:color="auto"/>
        <w:bottom w:val="none" w:sz="0" w:space="0" w:color="auto"/>
        <w:right w:val="none" w:sz="0" w:space="0" w:color="auto"/>
      </w:divBdr>
    </w:div>
    <w:div w:id="1099062181">
      <w:bodyDiv w:val="1"/>
      <w:marLeft w:val="0"/>
      <w:marRight w:val="0"/>
      <w:marTop w:val="0"/>
      <w:marBottom w:val="0"/>
      <w:divBdr>
        <w:top w:val="none" w:sz="0" w:space="0" w:color="auto"/>
        <w:left w:val="none" w:sz="0" w:space="0" w:color="auto"/>
        <w:bottom w:val="none" w:sz="0" w:space="0" w:color="auto"/>
        <w:right w:val="none" w:sz="0" w:space="0" w:color="auto"/>
      </w:divBdr>
    </w:div>
    <w:div w:id="1130243305">
      <w:bodyDiv w:val="1"/>
      <w:marLeft w:val="0"/>
      <w:marRight w:val="0"/>
      <w:marTop w:val="0"/>
      <w:marBottom w:val="0"/>
      <w:divBdr>
        <w:top w:val="none" w:sz="0" w:space="0" w:color="auto"/>
        <w:left w:val="none" w:sz="0" w:space="0" w:color="auto"/>
        <w:bottom w:val="none" w:sz="0" w:space="0" w:color="auto"/>
        <w:right w:val="none" w:sz="0" w:space="0" w:color="auto"/>
      </w:divBdr>
    </w:div>
    <w:div w:id="123577436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09952097">
      <w:bodyDiv w:val="1"/>
      <w:marLeft w:val="0"/>
      <w:marRight w:val="0"/>
      <w:marTop w:val="0"/>
      <w:marBottom w:val="0"/>
      <w:divBdr>
        <w:top w:val="none" w:sz="0" w:space="0" w:color="auto"/>
        <w:left w:val="none" w:sz="0" w:space="0" w:color="auto"/>
        <w:bottom w:val="none" w:sz="0" w:space="0" w:color="auto"/>
        <w:right w:val="none" w:sz="0" w:space="0" w:color="auto"/>
      </w:divBdr>
    </w:div>
    <w:div w:id="1616671853">
      <w:bodyDiv w:val="1"/>
      <w:marLeft w:val="0"/>
      <w:marRight w:val="0"/>
      <w:marTop w:val="0"/>
      <w:marBottom w:val="0"/>
      <w:divBdr>
        <w:top w:val="none" w:sz="0" w:space="0" w:color="auto"/>
        <w:left w:val="none" w:sz="0" w:space="0" w:color="auto"/>
        <w:bottom w:val="none" w:sz="0" w:space="0" w:color="auto"/>
        <w:right w:val="none" w:sz="0" w:space="0" w:color="auto"/>
      </w:divBdr>
    </w:div>
    <w:div w:id="168362335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17392395">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6122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837871" w:rsidP="00837871">
          <w:pPr>
            <w:pStyle w:val="E460D38E05664FF79D4EFF282EF8EC9938"/>
          </w:pPr>
          <w:r>
            <w:rPr>
              <w:rFonts w:hint="cs"/>
              <w:rtl/>
            </w:rPr>
            <w:t xml:space="preserve">     </w:t>
          </w:r>
        </w:p>
      </w:docPartBody>
    </w:docPart>
    <w:docPart>
      <w:docPartPr>
        <w:name w:val="6E9B64DE82404F9B827427D9CBC581D6"/>
        <w:category>
          <w:name w:val="כללי"/>
          <w:gallery w:val="placeholder"/>
        </w:category>
        <w:types>
          <w:type w:val="bbPlcHdr"/>
        </w:types>
        <w:behaviors>
          <w:behavior w:val="content"/>
        </w:behaviors>
        <w:guid w:val="{78BA44C6-B314-46D7-8ED1-BF436121D046}"/>
      </w:docPartPr>
      <w:docPartBody>
        <w:p w:rsidR="001437D3" w:rsidRDefault="00837871" w:rsidP="00837871">
          <w:pPr>
            <w:pStyle w:val="6E9B64DE82404F9B827427D9CBC581D62"/>
          </w:pPr>
          <w:r>
            <w:rPr>
              <w:rFonts w:ascii="Arial" w:hAnsi="Arial"/>
              <w:b/>
              <w:bCs/>
              <w:noProof w:val="0"/>
              <w:sz w:val="26"/>
              <w:szCs w:val="26"/>
              <w:rtl/>
            </w:rPr>
            <w:t>שם צד א' ללא שם של חסוי</w:t>
          </w:r>
        </w:p>
      </w:docPartBody>
    </w:docPart>
    <w:docPart>
      <w:docPartPr>
        <w:name w:val="4975FDB7C9824906A8EDDDC584D8F333"/>
        <w:category>
          <w:name w:val="כללי"/>
          <w:gallery w:val="placeholder"/>
        </w:category>
        <w:types>
          <w:type w:val="bbPlcHdr"/>
        </w:types>
        <w:behaviors>
          <w:behavior w:val="content"/>
        </w:behaviors>
        <w:guid w:val="{28E5AB39-0725-456D-B84C-21AB7B1A00B9}"/>
      </w:docPartPr>
      <w:docPartBody>
        <w:p w:rsidR="001437D3" w:rsidRDefault="00837871" w:rsidP="00837871">
          <w:pPr>
            <w:pStyle w:val="4975FDB7C9824906A8EDDDC584D8F3332"/>
          </w:pPr>
          <w:r>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0976"/>
    <w:rsid w:val="000A4ACE"/>
    <w:rsid w:val="001437D3"/>
    <w:rsid w:val="001E622F"/>
    <w:rsid w:val="00243834"/>
    <w:rsid w:val="002D02C4"/>
    <w:rsid w:val="002E734C"/>
    <w:rsid w:val="00334638"/>
    <w:rsid w:val="00345C9D"/>
    <w:rsid w:val="003D74C1"/>
    <w:rsid w:val="003E1A82"/>
    <w:rsid w:val="0048651F"/>
    <w:rsid w:val="00556D67"/>
    <w:rsid w:val="005F1C8D"/>
    <w:rsid w:val="00793995"/>
    <w:rsid w:val="007C6F98"/>
    <w:rsid w:val="007E254A"/>
    <w:rsid w:val="00837871"/>
    <w:rsid w:val="008B4366"/>
    <w:rsid w:val="009133C7"/>
    <w:rsid w:val="009178E4"/>
    <w:rsid w:val="009234CA"/>
    <w:rsid w:val="00961B27"/>
    <w:rsid w:val="009D04C0"/>
    <w:rsid w:val="009E240F"/>
    <w:rsid w:val="00AA7CE3"/>
    <w:rsid w:val="00AE1281"/>
    <w:rsid w:val="00B91FA3"/>
    <w:rsid w:val="00C4535D"/>
    <w:rsid w:val="00C96C06"/>
    <w:rsid w:val="00E31BF6"/>
    <w:rsid w:val="00E81DB1"/>
    <w:rsid w:val="00EB2309"/>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7871"/>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7">
    <w:name w:val="116EBBD5A99E4E519EE4A5661D82C50E7"/>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8">
    <w:name w:val="116EBBD5A99E4E519EE4A5661D82C50E8"/>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9">
    <w:name w:val="116EBBD5A99E4E519EE4A5661D82C50E9"/>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10">
    <w:name w:val="116EBBD5A99E4E519EE4A5661D82C50E10"/>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11">
    <w:name w:val="116EBBD5A99E4E519EE4A5661D82C50E11"/>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12">
    <w:name w:val="116EBBD5A99E4E519EE4A5661D82C50E12"/>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13">
    <w:name w:val="116EBBD5A99E4E519EE4A5661D82C50E13"/>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14">
    <w:name w:val="116EBBD5A99E4E519EE4A5661D82C50E14"/>
    <w:rsid w:val="00243834"/>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243834"/>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243834"/>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243834"/>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243834"/>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243834"/>
    <w:pPr>
      <w:bidi/>
      <w:spacing w:after="0" w:line="240" w:lineRule="auto"/>
    </w:pPr>
    <w:rPr>
      <w:rFonts w:ascii="Times New Roman" w:eastAsia="Times New Roman" w:hAnsi="Times New Roman" w:cs="David"/>
      <w:noProof/>
      <w:sz w:val="24"/>
      <w:szCs w:val="24"/>
    </w:rPr>
  </w:style>
  <w:style w:type="paragraph" w:customStyle="1" w:styleId="116EBBD5A99E4E519EE4A5661D82C50E15">
    <w:name w:val="116EBBD5A99E4E519EE4A5661D82C50E15"/>
    <w:rsid w:val="003D74C1"/>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3D74C1"/>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3D74C1"/>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3D74C1"/>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3D74C1"/>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3D74C1"/>
    <w:pPr>
      <w:bidi/>
      <w:spacing w:after="0" w:line="240" w:lineRule="auto"/>
    </w:pPr>
    <w:rPr>
      <w:rFonts w:ascii="Times New Roman" w:eastAsia="Times New Roman" w:hAnsi="Times New Roman" w:cs="David"/>
      <w:noProof/>
      <w:sz w:val="24"/>
      <w:szCs w:val="24"/>
    </w:rPr>
  </w:style>
  <w:style w:type="paragraph" w:customStyle="1" w:styleId="116EBBD5A99E4E519EE4A5661D82C50E16">
    <w:name w:val="116EBBD5A99E4E519EE4A5661D82C50E16"/>
    <w:rsid w:val="003D74C1"/>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3D74C1"/>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3D74C1"/>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3D74C1"/>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3D74C1"/>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3D74C1"/>
    <w:pPr>
      <w:bidi/>
      <w:spacing w:after="0" w:line="240" w:lineRule="auto"/>
    </w:pPr>
    <w:rPr>
      <w:rFonts w:ascii="Times New Roman" w:eastAsia="Times New Roman" w:hAnsi="Times New Roman" w:cs="David"/>
      <w:noProof/>
      <w:sz w:val="24"/>
      <w:szCs w:val="24"/>
    </w:rPr>
  </w:style>
  <w:style w:type="paragraph" w:customStyle="1" w:styleId="116EBBD5A99E4E519EE4A5661D82C50E17">
    <w:name w:val="116EBBD5A99E4E519EE4A5661D82C50E17"/>
    <w:rsid w:val="00EB2309"/>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EB2309"/>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EB2309"/>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EB2309"/>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EB2309"/>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EB2309"/>
    <w:pPr>
      <w:bidi/>
      <w:spacing w:after="0" w:line="240" w:lineRule="auto"/>
    </w:pPr>
    <w:rPr>
      <w:rFonts w:ascii="Times New Roman" w:eastAsia="Times New Roman" w:hAnsi="Times New Roman" w:cs="David"/>
      <w:noProof/>
      <w:sz w:val="24"/>
      <w:szCs w:val="24"/>
    </w:rPr>
  </w:style>
  <w:style w:type="paragraph" w:customStyle="1" w:styleId="116EBBD5A99E4E519EE4A5661D82C50E18">
    <w:name w:val="116EBBD5A99E4E519EE4A5661D82C50E18"/>
    <w:rsid w:val="00AE1281"/>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AE1281"/>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AE1281"/>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AE1281"/>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AE1281"/>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AE1281"/>
    <w:pPr>
      <w:bidi/>
      <w:spacing w:after="0" w:line="240" w:lineRule="auto"/>
    </w:pPr>
    <w:rPr>
      <w:rFonts w:ascii="Times New Roman" w:eastAsia="Times New Roman" w:hAnsi="Times New Roman" w:cs="David"/>
      <w:noProof/>
      <w:sz w:val="24"/>
      <w:szCs w:val="24"/>
    </w:rPr>
  </w:style>
  <w:style w:type="paragraph" w:customStyle="1" w:styleId="116EBBD5A99E4E519EE4A5661D82C50E19">
    <w:name w:val="116EBBD5A99E4E519EE4A5661D82C50E19"/>
    <w:rsid w:val="009D04C0"/>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9D04C0"/>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9D04C0"/>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9D04C0"/>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9D04C0"/>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9D04C0"/>
    <w:pPr>
      <w:bidi/>
      <w:spacing w:after="0" w:line="240" w:lineRule="auto"/>
    </w:pPr>
    <w:rPr>
      <w:rFonts w:ascii="Times New Roman" w:eastAsia="Times New Roman" w:hAnsi="Times New Roman" w:cs="David"/>
      <w:noProof/>
      <w:sz w:val="24"/>
      <w:szCs w:val="24"/>
    </w:rPr>
  </w:style>
  <w:style w:type="paragraph" w:customStyle="1" w:styleId="116EBBD5A99E4E519EE4A5661D82C50E20">
    <w:name w:val="116EBBD5A99E4E519EE4A5661D82C50E20"/>
    <w:rsid w:val="001E622F"/>
    <w:pPr>
      <w:bidi/>
      <w:spacing w:after="0" w:line="240" w:lineRule="auto"/>
    </w:pPr>
    <w:rPr>
      <w:rFonts w:ascii="Times New Roman" w:eastAsia="Times New Roman" w:hAnsi="Times New Roman" w:cs="David"/>
      <w:noProof/>
      <w:sz w:val="24"/>
      <w:szCs w:val="24"/>
    </w:rPr>
  </w:style>
  <w:style w:type="paragraph" w:customStyle="1" w:styleId="E6E6A917CC5E4519A8F2E864C48E22F220">
    <w:name w:val="E6E6A917CC5E4519A8F2E864C48E22F220"/>
    <w:rsid w:val="001E622F"/>
    <w:pPr>
      <w:bidi/>
      <w:spacing w:after="0" w:line="240" w:lineRule="auto"/>
    </w:pPr>
    <w:rPr>
      <w:rFonts w:ascii="Times New Roman" w:eastAsia="Times New Roman" w:hAnsi="Times New Roman" w:cs="David"/>
      <w:noProof/>
      <w:sz w:val="24"/>
      <w:szCs w:val="24"/>
    </w:rPr>
  </w:style>
  <w:style w:type="paragraph" w:customStyle="1" w:styleId="9DC4FF55E52B4E209349FC40470DD41820">
    <w:name w:val="9DC4FF55E52B4E209349FC40470DD41820"/>
    <w:rsid w:val="001E622F"/>
    <w:pPr>
      <w:bidi/>
      <w:spacing w:after="0" w:line="240" w:lineRule="auto"/>
    </w:pPr>
    <w:rPr>
      <w:rFonts w:ascii="Times New Roman" w:eastAsia="Times New Roman" w:hAnsi="Times New Roman" w:cs="David"/>
      <w:noProof/>
      <w:sz w:val="24"/>
      <w:szCs w:val="24"/>
    </w:rPr>
  </w:style>
  <w:style w:type="paragraph" w:customStyle="1" w:styleId="112E7BE5CCF64A68A3D497F283A4D69520">
    <w:name w:val="112E7BE5CCF64A68A3D497F283A4D69520"/>
    <w:rsid w:val="001E622F"/>
    <w:pPr>
      <w:bidi/>
      <w:spacing w:after="0" w:line="240" w:lineRule="auto"/>
    </w:pPr>
    <w:rPr>
      <w:rFonts w:ascii="Times New Roman" w:eastAsia="Times New Roman" w:hAnsi="Times New Roman" w:cs="David"/>
      <w:noProof/>
      <w:sz w:val="24"/>
      <w:szCs w:val="24"/>
    </w:rPr>
  </w:style>
  <w:style w:type="paragraph" w:customStyle="1" w:styleId="ECC435E5782A4F3FB39457279E24BE8818">
    <w:name w:val="ECC435E5782A4F3FB39457279E24BE8818"/>
    <w:rsid w:val="001E622F"/>
    <w:pPr>
      <w:bidi/>
      <w:spacing w:after="0" w:line="240" w:lineRule="auto"/>
    </w:pPr>
    <w:rPr>
      <w:rFonts w:ascii="Times New Roman" w:eastAsia="Times New Roman" w:hAnsi="Times New Roman" w:cs="David"/>
      <w:noProof/>
      <w:sz w:val="24"/>
      <w:szCs w:val="24"/>
    </w:rPr>
  </w:style>
  <w:style w:type="paragraph" w:customStyle="1" w:styleId="E460D38E05664FF79D4EFF282EF8EC9932">
    <w:name w:val="E460D38E05664FF79D4EFF282EF8EC9932"/>
    <w:rsid w:val="001E622F"/>
    <w:pPr>
      <w:bidi/>
      <w:spacing w:after="0" w:line="240" w:lineRule="auto"/>
    </w:pPr>
    <w:rPr>
      <w:rFonts w:ascii="Times New Roman" w:eastAsia="Times New Roman" w:hAnsi="Times New Roman" w:cs="David"/>
      <w:noProof/>
      <w:sz w:val="24"/>
      <w:szCs w:val="24"/>
    </w:rPr>
  </w:style>
  <w:style w:type="paragraph" w:customStyle="1" w:styleId="116EBBD5A99E4E519EE4A5661D82C50E21">
    <w:name w:val="116EBBD5A99E4E519EE4A5661D82C50E21"/>
    <w:rsid w:val="009234CA"/>
    <w:pPr>
      <w:bidi/>
      <w:spacing w:after="0" w:line="240" w:lineRule="auto"/>
    </w:pPr>
    <w:rPr>
      <w:rFonts w:ascii="Times New Roman" w:eastAsia="Times New Roman" w:hAnsi="Times New Roman" w:cs="David"/>
      <w:noProof/>
      <w:sz w:val="24"/>
      <w:szCs w:val="24"/>
    </w:rPr>
  </w:style>
  <w:style w:type="paragraph" w:customStyle="1" w:styleId="E6E6A917CC5E4519A8F2E864C48E22F221">
    <w:name w:val="E6E6A917CC5E4519A8F2E864C48E22F221"/>
    <w:rsid w:val="009234CA"/>
    <w:pPr>
      <w:bidi/>
      <w:spacing w:after="0" w:line="240" w:lineRule="auto"/>
    </w:pPr>
    <w:rPr>
      <w:rFonts w:ascii="Times New Roman" w:eastAsia="Times New Roman" w:hAnsi="Times New Roman" w:cs="David"/>
      <w:noProof/>
      <w:sz w:val="24"/>
      <w:szCs w:val="24"/>
    </w:rPr>
  </w:style>
  <w:style w:type="paragraph" w:customStyle="1" w:styleId="9DC4FF55E52B4E209349FC40470DD41821">
    <w:name w:val="9DC4FF55E52B4E209349FC40470DD41821"/>
    <w:rsid w:val="009234CA"/>
    <w:pPr>
      <w:bidi/>
      <w:spacing w:after="0" w:line="240" w:lineRule="auto"/>
    </w:pPr>
    <w:rPr>
      <w:rFonts w:ascii="Times New Roman" w:eastAsia="Times New Roman" w:hAnsi="Times New Roman" w:cs="David"/>
      <w:noProof/>
      <w:sz w:val="24"/>
      <w:szCs w:val="24"/>
    </w:rPr>
  </w:style>
  <w:style w:type="paragraph" w:customStyle="1" w:styleId="112E7BE5CCF64A68A3D497F283A4D69521">
    <w:name w:val="112E7BE5CCF64A68A3D497F283A4D69521"/>
    <w:rsid w:val="009234CA"/>
    <w:pPr>
      <w:bidi/>
      <w:spacing w:after="0" w:line="240" w:lineRule="auto"/>
    </w:pPr>
    <w:rPr>
      <w:rFonts w:ascii="Times New Roman" w:eastAsia="Times New Roman" w:hAnsi="Times New Roman" w:cs="David"/>
      <w:noProof/>
      <w:sz w:val="24"/>
      <w:szCs w:val="24"/>
    </w:rPr>
  </w:style>
  <w:style w:type="paragraph" w:customStyle="1" w:styleId="ECC435E5782A4F3FB39457279E24BE8819">
    <w:name w:val="ECC435E5782A4F3FB39457279E24BE8819"/>
    <w:rsid w:val="009234CA"/>
    <w:pPr>
      <w:bidi/>
      <w:spacing w:after="0" w:line="240" w:lineRule="auto"/>
    </w:pPr>
    <w:rPr>
      <w:rFonts w:ascii="Times New Roman" w:eastAsia="Times New Roman" w:hAnsi="Times New Roman" w:cs="David"/>
      <w:noProof/>
      <w:sz w:val="24"/>
      <w:szCs w:val="24"/>
    </w:rPr>
  </w:style>
  <w:style w:type="paragraph" w:customStyle="1" w:styleId="E460D38E05664FF79D4EFF282EF8EC9933">
    <w:name w:val="E460D38E05664FF79D4EFF282EF8EC9933"/>
    <w:rsid w:val="009234CA"/>
    <w:pPr>
      <w:bidi/>
      <w:spacing w:after="0" w:line="240" w:lineRule="auto"/>
    </w:pPr>
    <w:rPr>
      <w:rFonts w:ascii="Times New Roman" w:eastAsia="Times New Roman" w:hAnsi="Times New Roman" w:cs="David"/>
      <w:noProof/>
      <w:sz w:val="24"/>
      <w:szCs w:val="24"/>
    </w:rPr>
  </w:style>
  <w:style w:type="paragraph" w:customStyle="1" w:styleId="AD812B442A6148AD86AF75D37292B388">
    <w:name w:val="AD812B442A6148AD86AF75D37292B388"/>
    <w:rsid w:val="009234CA"/>
    <w:pPr>
      <w:bidi/>
      <w:spacing w:after="160" w:line="259" w:lineRule="auto"/>
    </w:pPr>
  </w:style>
  <w:style w:type="paragraph" w:customStyle="1" w:styleId="E516A655D6BA4402B6419633AB3A57D0">
    <w:name w:val="E516A655D6BA4402B6419633AB3A57D0"/>
    <w:rsid w:val="009234CA"/>
    <w:pPr>
      <w:bidi/>
      <w:spacing w:after="160" w:line="259" w:lineRule="auto"/>
    </w:pPr>
  </w:style>
  <w:style w:type="paragraph" w:customStyle="1" w:styleId="CFC05397738F4E5A80E642501E3521EE">
    <w:name w:val="CFC05397738F4E5A80E642501E3521EE"/>
    <w:rsid w:val="009234CA"/>
    <w:pPr>
      <w:bidi/>
      <w:spacing w:after="160" w:line="259" w:lineRule="auto"/>
    </w:pPr>
  </w:style>
  <w:style w:type="paragraph" w:customStyle="1" w:styleId="90B0F759156647ACAD295D20FC97F03F">
    <w:name w:val="90B0F759156647ACAD295D20FC97F03F"/>
    <w:rsid w:val="009234CA"/>
    <w:pPr>
      <w:bidi/>
      <w:spacing w:after="160" w:line="259" w:lineRule="auto"/>
    </w:pPr>
  </w:style>
  <w:style w:type="paragraph" w:customStyle="1" w:styleId="A32784E0CF004EEDBF07D7430B41A77E">
    <w:name w:val="A32784E0CF004EEDBF07D7430B41A77E"/>
    <w:rsid w:val="009234CA"/>
    <w:pPr>
      <w:bidi/>
      <w:spacing w:after="160" w:line="259" w:lineRule="auto"/>
    </w:pPr>
  </w:style>
  <w:style w:type="paragraph" w:customStyle="1" w:styleId="2F0C8789261B416098B21975B972BEDE">
    <w:name w:val="2F0C8789261B416098B21975B972BEDE"/>
    <w:rsid w:val="009234CA"/>
    <w:pPr>
      <w:bidi/>
      <w:spacing w:after="160" w:line="259" w:lineRule="auto"/>
    </w:pPr>
  </w:style>
  <w:style w:type="paragraph" w:customStyle="1" w:styleId="E516A655D6BA4402B6419633AB3A57D01">
    <w:name w:val="E516A655D6BA4402B6419633AB3A57D01"/>
    <w:rsid w:val="00C4535D"/>
    <w:pPr>
      <w:bidi/>
      <w:spacing w:after="0" w:line="240" w:lineRule="auto"/>
    </w:pPr>
    <w:rPr>
      <w:rFonts w:ascii="Times New Roman" w:eastAsia="Times New Roman" w:hAnsi="Times New Roman" w:cs="David"/>
      <w:noProof/>
      <w:sz w:val="24"/>
      <w:szCs w:val="24"/>
    </w:rPr>
  </w:style>
  <w:style w:type="paragraph" w:customStyle="1" w:styleId="CFC05397738F4E5A80E642501E3521EE1">
    <w:name w:val="CFC05397738F4E5A80E642501E3521EE1"/>
    <w:rsid w:val="00C4535D"/>
    <w:pPr>
      <w:bidi/>
      <w:spacing w:after="0" w:line="240" w:lineRule="auto"/>
    </w:pPr>
    <w:rPr>
      <w:rFonts w:ascii="Times New Roman" w:eastAsia="Times New Roman" w:hAnsi="Times New Roman" w:cs="David"/>
      <w:noProof/>
      <w:sz w:val="24"/>
      <w:szCs w:val="24"/>
    </w:rPr>
  </w:style>
  <w:style w:type="paragraph" w:customStyle="1" w:styleId="90B0F759156647ACAD295D20FC97F03F1">
    <w:name w:val="90B0F759156647ACAD295D20FC97F03F1"/>
    <w:rsid w:val="00C4535D"/>
    <w:pPr>
      <w:bidi/>
      <w:spacing w:after="0" w:line="240" w:lineRule="auto"/>
    </w:pPr>
    <w:rPr>
      <w:rFonts w:ascii="Times New Roman" w:eastAsia="Times New Roman" w:hAnsi="Times New Roman" w:cs="David"/>
      <w:noProof/>
      <w:sz w:val="24"/>
      <w:szCs w:val="24"/>
    </w:rPr>
  </w:style>
  <w:style w:type="paragraph" w:customStyle="1" w:styleId="A32784E0CF004EEDBF07D7430B41A77E1">
    <w:name w:val="A32784E0CF004EEDBF07D7430B41A77E1"/>
    <w:rsid w:val="00C4535D"/>
    <w:pPr>
      <w:bidi/>
      <w:spacing w:after="0" w:line="240" w:lineRule="auto"/>
    </w:pPr>
    <w:rPr>
      <w:rFonts w:ascii="Times New Roman" w:eastAsia="Times New Roman" w:hAnsi="Times New Roman" w:cs="David"/>
      <w:noProof/>
      <w:sz w:val="24"/>
      <w:szCs w:val="24"/>
    </w:rPr>
  </w:style>
  <w:style w:type="paragraph" w:customStyle="1" w:styleId="2F0C8789261B416098B21975B972BEDE1">
    <w:name w:val="2F0C8789261B416098B21975B972BEDE1"/>
    <w:rsid w:val="00C4535D"/>
    <w:pPr>
      <w:bidi/>
      <w:spacing w:after="0" w:line="240" w:lineRule="auto"/>
    </w:pPr>
    <w:rPr>
      <w:rFonts w:ascii="Times New Roman" w:eastAsia="Times New Roman" w:hAnsi="Times New Roman" w:cs="David"/>
      <w:noProof/>
      <w:sz w:val="24"/>
      <w:szCs w:val="24"/>
    </w:rPr>
  </w:style>
  <w:style w:type="paragraph" w:customStyle="1" w:styleId="E460D38E05664FF79D4EFF282EF8EC9934">
    <w:name w:val="E460D38E05664FF79D4EFF282EF8EC9934"/>
    <w:rsid w:val="00C4535D"/>
    <w:pPr>
      <w:bidi/>
      <w:spacing w:after="0" w:line="240" w:lineRule="auto"/>
    </w:pPr>
    <w:rPr>
      <w:rFonts w:ascii="Times New Roman" w:eastAsia="Times New Roman" w:hAnsi="Times New Roman" w:cs="David"/>
      <w:noProof/>
      <w:sz w:val="24"/>
      <w:szCs w:val="24"/>
    </w:rPr>
  </w:style>
  <w:style w:type="paragraph" w:customStyle="1" w:styleId="E516A655D6BA4402B6419633AB3A57D02">
    <w:name w:val="E516A655D6BA4402B6419633AB3A57D02"/>
    <w:rsid w:val="00010976"/>
    <w:pPr>
      <w:bidi/>
      <w:spacing w:after="0" w:line="240" w:lineRule="auto"/>
    </w:pPr>
    <w:rPr>
      <w:rFonts w:ascii="Times New Roman" w:eastAsia="Times New Roman" w:hAnsi="Times New Roman" w:cs="David"/>
      <w:noProof/>
      <w:sz w:val="24"/>
      <w:szCs w:val="24"/>
    </w:rPr>
  </w:style>
  <w:style w:type="paragraph" w:customStyle="1" w:styleId="CFC05397738F4E5A80E642501E3521EE2">
    <w:name w:val="CFC05397738F4E5A80E642501E3521EE2"/>
    <w:rsid w:val="00010976"/>
    <w:pPr>
      <w:bidi/>
      <w:spacing w:after="0" w:line="240" w:lineRule="auto"/>
    </w:pPr>
    <w:rPr>
      <w:rFonts w:ascii="Times New Roman" w:eastAsia="Times New Roman" w:hAnsi="Times New Roman" w:cs="David"/>
      <w:noProof/>
      <w:sz w:val="24"/>
      <w:szCs w:val="24"/>
    </w:rPr>
  </w:style>
  <w:style w:type="paragraph" w:customStyle="1" w:styleId="90B0F759156647ACAD295D20FC97F03F2">
    <w:name w:val="90B0F759156647ACAD295D20FC97F03F2"/>
    <w:rsid w:val="00010976"/>
    <w:pPr>
      <w:bidi/>
      <w:spacing w:after="0" w:line="240" w:lineRule="auto"/>
    </w:pPr>
    <w:rPr>
      <w:rFonts w:ascii="Times New Roman" w:eastAsia="Times New Roman" w:hAnsi="Times New Roman" w:cs="David"/>
      <w:noProof/>
      <w:sz w:val="24"/>
      <w:szCs w:val="24"/>
    </w:rPr>
  </w:style>
  <w:style w:type="paragraph" w:customStyle="1" w:styleId="A32784E0CF004EEDBF07D7430B41A77E2">
    <w:name w:val="A32784E0CF004EEDBF07D7430B41A77E2"/>
    <w:rsid w:val="00010976"/>
    <w:pPr>
      <w:bidi/>
      <w:spacing w:after="0" w:line="240" w:lineRule="auto"/>
    </w:pPr>
    <w:rPr>
      <w:rFonts w:ascii="Times New Roman" w:eastAsia="Times New Roman" w:hAnsi="Times New Roman" w:cs="David"/>
      <w:noProof/>
      <w:sz w:val="24"/>
      <w:szCs w:val="24"/>
    </w:rPr>
  </w:style>
  <w:style w:type="paragraph" w:customStyle="1" w:styleId="2F0C8789261B416098B21975B972BEDE2">
    <w:name w:val="2F0C8789261B416098B21975B972BEDE2"/>
    <w:rsid w:val="00010976"/>
    <w:pPr>
      <w:bidi/>
      <w:spacing w:after="0" w:line="240" w:lineRule="auto"/>
    </w:pPr>
    <w:rPr>
      <w:rFonts w:ascii="Times New Roman" w:eastAsia="Times New Roman" w:hAnsi="Times New Roman" w:cs="David"/>
      <w:noProof/>
      <w:sz w:val="24"/>
      <w:szCs w:val="24"/>
    </w:rPr>
  </w:style>
  <w:style w:type="paragraph" w:customStyle="1" w:styleId="E460D38E05664FF79D4EFF282EF8EC9935">
    <w:name w:val="E460D38E05664FF79D4EFF282EF8EC9935"/>
    <w:rsid w:val="00010976"/>
    <w:pPr>
      <w:bidi/>
      <w:spacing w:after="0" w:line="240" w:lineRule="auto"/>
    </w:pPr>
    <w:rPr>
      <w:rFonts w:ascii="Times New Roman" w:eastAsia="Times New Roman" w:hAnsi="Times New Roman" w:cs="David"/>
      <w:noProof/>
      <w:sz w:val="24"/>
      <w:szCs w:val="24"/>
    </w:rPr>
  </w:style>
  <w:style w:type="paragraph" w:customStyle="1" w:styleId="E516A655D6BA4402B6419633AB3A57D03">
    <w:name w:val="E516A655D6BA4402B6419633AB3A57D03"/>
    <w:rsid w:val="00010976"/>
    <w:pPr>
      <w:bidi/>
      <w:spacing w:after="0" w:line="240" w:lineRule="auto"/>
    </w:pPr>
    <w:rPr>
      <w:rFonts w:ascii="Times New Roman" w:eastAsia="Times New Roman" w:hAnsi="Times New Roman" w:cs="David"/>
      <w:noProof/>
      <w:sz w:val="24"/>
      <w:szCs w:val="24"/>
    </w:rPr>
  </w:style>
  <w:style w:type="paragraph" w:customStyle="1" w:styleId="CFC05397738F4E5A80E642501E3521EE3">
    <w:name w:val="CFC05397738F4E5A80E642501E3521EE3"/>
    <w:rsid w:val="00010976"/>
    <w:pPr>
      <w:bidi/>
      <w:spacing w:after="0" w:line="240" w:lineRule="auto"/>
    </w:pPr>
    <w:rPr>
      <w:rFonts w:ascii="Times New Roman" w:eastAsia="Times New Roman" w:hAnsi="Times New Roman" w:cs="David"/>
      <w:noProof/>
      <w:sz w:val="24"/>
      <w:szCs w:val="24"/>
    </w:rPr>
  </w:style>
  <w:style w:type="paragraph" w:customStyle="1" w:styleId="90B0F759156647ACAD295D20FC97F03F3">
    <w:name w:val="90B0F759156647ACAD295D20FC97F03F3"/>
    <w:rsid w:val="00010976"/>
    <w:pPr>
      <w:bidi/>
      <w:spacing w:after="0" w:line="240" w:lineRule="auto"/>
    </w:pPr>
    <w:rPr>
      <w:rFonts w:ascii="Times New Roman" w:eastAsia="Times New Roman" w:hAnsi="Times New Roman" w:cs="David"/>
      <w:noProof/>
      <w:sz w:val="24"/>
      <w:szCs w:val="24"/>
    </w:rPr>
  </w:style>
  <w:style w:type="paragraph" w:customStyle="1" w:styleId="A32784E0CF004EEDBF07D7430B41A77E3">
    <w:name w:val="A32784E0CF004EEDBF07D7430B41A77E3"/>
    <w:rsid w:val="00010976"/>
    <w:pPr>
      <w:bidi/>
      <w:spacing w:after="0" w:line="240" w:lineRule="auto"/>
    </w:pPr>
    <w:rPr>
      <w:rFonts w:ascii="Times New Roman" w:eastAsia="Times New Roman" w:hAnsi="Times New Roman" w:cs="David"/>
      <w:noProof/>
      <w:sz w:val="24"/>
      <w:szCs w:val="24"/>
    </w:rPr>
  </w:style>
  <w:style w:type="paragraph" w:customStyle="1" w:styleId="2F0C8789261B416098B21975B972BEDE3">
    <w:name w:val="2F0C8789261B416098B21975B972BEDE3"/>
    <w:rsid w:val="00010976"/>
    <w:pPr>
      <w:bidi/>
      <w:spacing w:after="0" w:line="240" w:lineRule="auto"/>
    </w:pPr>
    <w:rPr>
      <w:rFonts w:ascii="Times New Roman" w:eastAsia="Times New Roman" w:hAnsi="Times New Roman" w:cs="David"/>
      <w:noProof/>
      <w:sz w:val="24"/>
      <w:szCs w:val="24"/>
    </w:rPr>
  </w:style>
  <w:style w:type="paragraph" w:customStyle="1" w:styleId="E460D38E05664FF79D4EFF282EF8EC9936">
    <w:name w:val="E460D38E05664FF79D4EFF282EF8EC9936"/>
    <w:rsid w:val="00010976"/>
    <w:pPr>
      <w:bidi/>
      <w:spacing w:after="0" w:line="240" w:lineRule="auto"/>
    </w:pPr>
    <w:rPr>
      <w:rFonts w:ascii="Times New Roman" w:eastAsia="Times New Roman" w:hAnsi="Times New Roman" w:cs="David"/>
      <w:noProof/>
      <w:sz w:val="24"/>
      <w:szCs w:val="24"/>
    </w:rPr>
  </w:style>
  <w:style w:type="paragraph" w:customStyle="1" w:styleId="6E9B64DE82404F9B827427D9CBC581D6">
    <w:name w:val="6E9B64DE82404F9B827427D9CBC581D6"/>
    <w:rsid w:val="005F1C8D"/>
    <w:pPr>
      <w:bidi/>
      <w:spacing w:after="160" w:line="259" w:lineRule="auto"/>
    </w:pPr>
  </w:style>
  <w:style w:type="paragraph" w:customStyle="1" w:styleId="CEBF8CAB19D1432190577F1B232F29DC">
    <w:name w:val="CEBF8CAB19D1432190577F1B232F29DC"/>
    <w:rsid w:val="005F1C8D"/>
    <w:pPr>
      <w:bidi/>
      <w:spacing w:after="160" w:line="259" w:lineRule="auto"/>
    </w:pPr>
  </w:style>
  <w:style w:type="paragraph" w:customStyle="1" w:styleId="486476043DCC42DE88A7E90AAA0A5F6E">
    <w:name w:val="486476043DCC42DE88A7E90AAA0A5F6E"/>
    <w:rsid w:val="005F1C8D"/>
    <w:pPr>
      <w:bidi/>
      <w:spacing w:after="160" w:line="259" w:lineRule="auto"/>
    </w:pPr>
  </w:style>
  <w:style w:type="paragraph" w:customStyle="1" w:styleId="6C5A84F1268D48BCB763E3FE0B847160">
    <w:name w:val="6C5A84F1268D48BCB763E3FE0B847160"/>
    <w:rsid w:val="005F1C8D"/>
    <w:pPr>
      <w:bidi/>
      <w:spacing w:after="160" w:line="259" w:lineRule="auto"/>
    </w:pPr>
  </w:style>
  <w:style w:type="paragraph" w:customStyle="1" w:styleId="CC98E272BE60499A9573555F2D3FBAF5">
    <w:name w:val="CC98E272BE60499A9573555F2D3FBAF5"/>
    <w:rsid w:val="005F1C8D"/>
    <w:pPr>
      <w:bidi/>
      <w:spacing w:after="160" w:line="259" w:lineRule="auto"/>
    </w:pPr>
  </w:style>
  <w:style w:type="paragraph" w:customStyle="1" w:styleId="F06F93A59E9F4240AEBCC820438BAFCF">
    <w:name w:val="F06F93A59E9F4240AEBCC820438BAFCF"/>
    <w:rsid w:val="005F1C8D"/>
    <w:pPr>
      <w:bidi/>
      <w:spacing w:after="160" w:line="259" w:lineRule="auto"/>
    </w:pPr>
  </w:style>
  <w:style w:type="paragraph" w:customStyle="1" w:styleId="A90AC82EC8B94BD7865F956EF503BBAD">
    <w:name w:val="A90AC82EC8B94BD7865F956EF503BBAD"/>
    <w:rsid w:val="005F1C8D"/>
    <w:pPr>
      <w:bidi/>
      <w:spacing w:after="160" w:line="259" w:lineRule="auto"/>
    </w:pPr>
  </w:style>
  <w:style w:type="paragraph" w:customStyle="1" w:styleId="CA411FF768504DE698B39B6C6B68DBCA">
    <w:name w:val="CA411FF768504DE698B39B6C6B68DBCA"/>
    <w:rsid w:val="005F1C8D"/>
    <w:pPr>
      <w:bidi/>
      <w:spacing w:after="160" w:line="259" w:lineRule="auto"/>
    </w:pPr>
  </w:style>
  <w:style w:type="paragraph" w:customStyle="1" w:styleId="14CE73BE419B448887D1F7C12CD5C3DE">
    <w:name w:val="14CE73BE419B448887D1F7C12CD5C3DE"/>
    <w:rsid w:val="005F1C8D"/>
    <w:pPr>
      <w:bidi/>
      <w:spacing w:after="160" w:line="259" w:lineRule="auto"/>
    </w:pPr>
  </w:style>
  <w:style w:type="paragraph" w:customStyle="1" w:styleId="27898690DA6B4C90AA8374F7637925A9">
    <w:name w:val="27898690DA6B4C90AA8374F7637925A9"/>
    <w:rsid w:val="005F1C8D"/>
    <w:pPr>
      <w:bidi/>
      <w:spacing w:after="160" w:line="259" w:lineRule="auto"/>
    </w:pPr>
  </w:style>
  <w:style w:type="paragraph" w:customStyle="1" w:styleId="C62771E0E4CF434682A071CB4FB6C3FA">
    <w:name w:val="C62771E0E4CF434682A071CB4FB6C3FA"/>
    <w:rsid w:val="005F1C8D"/>
    <w:pPr>
      <w:bidi/>
      <w:spacing w:after="160" w:line="259" w:lineRule="auto"/>
    </w:pPr>
  </w:style>
  <w:style w:type="paragraph" w:customStyle="1" w:styleId="4975FDB7C9824906A8EDDDC584D8F333">
    <w:name w:val="4975FDB7C9824906A8EDDDC584D8F333"/>
    <w:rsid w:val="005F1C8D"/>
    <w:pPr>
      <w:bidi/>
      <w:spacing w:after="160" w:line="259" w:lineRule="auto"/>
    </w:pPr>
  </w:style>
  <w:style w:type="paragraph" w:customStyle="1" w:styleId="DB11F48261404C87815507950762D31B">
    <w:name w:val="DB11F48261404C87815507950762D31B"/>
    <w:rsid w:val="005F1C8D"/>
    <w:pPr>
      <w:bidi/>
      <w:spacing w:after="160" w:line="259" w:lineRule="auto"/>
    </w:pPr>
  </w:style>
  <w:style w:type="paragraph" w:customStyle="1" w:styleId="0775C2ABC8734942821E9580B7CD52AB">
    <w:name w:val="0775C2ABC8734942821E9580B7CD52AB"/>
    <w:rsid w:val="005F1C8D"/>
    <w:pPr>
      <w:bidi/>
      <w:spacing w:after="160" w:line="259" w:lineRule="auto"/>
    </w:pPr>
  </w:style>
  <w:style w:type="paragraph" w:customStyle="1" w:styleId="AC934E0EF817441CB631F508445A1C72">
    <w:name w:val="AC934E0EF817441CB631F508445A1C72"/>
    <w:rsid w:val="005F1C8D"/>
    <w:pPr>
      <w:bidi/>
      <w:spacing w:after="160" w:line="259" w:lineRule="auto"/>
    </w:pPr>
  </w:style>
  <w:style w:type="paragraph" w:customStyle="1" w:styleId="57718C5BA61841D794B21F88803E1E63">
    <w:name w:val="57718C5BA61841D794B21F88803E1E63"/>
    <w:rsid w:val="005F1C8D"/>
    <w:pPr>
      <w:bidi/>
      <w:spacing w:after="160" w:line="259" w:lineRule="auto"/>
    </w:pPr>
  </w:style>
  <w:style w:type="paragraph" w:customStyle="1" w:styleId="3DCE8B5BEDA444F1ABDBF28E2B60C1F2">
    <w:name w:val="3DCE8B5BEDA444F1ABDBF28E2B60C1F2"/>
    <w:rsid w:val="005F1C8D"/>
    <w:pPr>
      <w:bidi/>
      <w:spacing w:after="160" w:line="259" w:lineRule="auto"/>
    </w:pPr>
  </w:style>
  <w:style w:type="paragraph" w:customStyle="1" w:styleId="3063793C11CD45E38AE9612680E7E24C">
    <w:name w:val="3063793C11CD45E38AE9612680E7E24C"/>
    <w:rsid w:val="005F1C8D"/>
    <w:pPr>
      <w:bidi/>
      <w:spacing w:after="160" w:line="259" w:lineRule="auto"/>
    </w:pPr>
  </w:style>
  <w:style w:type="paragraph" w:customStyle="1" w:styleId="0CE3232FC0A7453B91552AD24D6356EC">
    <w:name w:val="0CE3232FC0A7453B91552AD24D6356EC"/>
    <w:rsid w:val="005F1C8D"/>
    <w:pPr>
      <w:bidi/>
      <w:spacing w:after="160" w:line="259" w:lineRule="auto"/>
    </w:pPr>
  </w:style>
  <w:style w:type="paragraph" w:customStyle="1" w:styleId="0746682D744E43C9AA67B3EF2EC9F747">
    <w:name w:val="0746682D744E43C9AA67B3EF2EC9F747"/>
    <w:rsid w:val="005F1C8D"/>
    <w:pPr>
      <w:bidi/>
      <w:spacing w:after="160" w:line="259" w:lineRule="auto"/>
    </w:pPr>
  </w:style>
  <w:style w:type="paragraph" w:customStyle="1" w:styleId="266B6031A6DF49368D1A39C11D099690">
    <w:name w:val="266B6031A6DF49368D1A39C11D099690"/>
    <w:rsid w:val="005F1C8D"/>
    <w:pPr>
      <w:bidi/>
      <w:spacing w:after="160" w:line="259" w:lineRule="auto"/>
    </w:pPr>
  </w:style>
  <w:style w:type="paragraph" w:customStyle="1" w:styleId="9606C6A3114E4A80B8FCC2B7D49AD3DE">
    <w:name w:val="9606C6A3114E4A80B8FCC2B7D49AD3DE"/>
    <w:rsid w:val="005F1C8D"/>
    <w:pPr>
      <w:bidi/>
      <w:spacing w:after="160" w:line="259" w:lineRule="auto"/>
    </w:pPr>
  </w:style>
  <w:style w:type="paragraph" w:customStyle="1" w:styleId="EEC23A8385174C679D11DAA521780AFF">
    <w:name w:val="EEC23A8385174C679D11DAA521780AFF"/>
    <w:rsid w:val="005F1C8D"/>
    <w:pPr>
      <w:bidi/>
      <w:spacing w:after="160" w:line="259" w:lineRule="auto"/>
    </w:pPr>
  </w:style>
  <w:style w:type="paragraph" w:customStyle="1" w:styleId="2F7511B259E4414885D126CE0792B16E">
    <w:name w:val="2F7511B259E4414885D126CE0792B16E"/>
    <w:rsid w:val="005F1C8D"/>
    <w:pPr>
      <w:bidi/>
      <w:spacing w:after="160" w:line="259" w:lineRule="auto"/>
    </w:pPr>
  </w:style>
  <w:style w:type="paragraph" w:customStyle="1" w:styleId="E51E1DFD654740D484F70EDD1EA4FA2D">
    <w:name w:val="E51E1DFD654740D484F70EDD1EA4FA2D"/>
    <w:rsid w:val="005F1C8D"/>
    <w:pPr>
      <w:bidi/>
      <w:spacing w:after="160" w:line="259" w:lineRule="auto"/>
    </w:pPr>
  </w:style>
  <w:style w:type="paragraph" w:customStyle="1" w:styleId="8E48858722B44348B7754217E380155A">
    <w:name w:val="8E48858722B44348B7754217E380155A"/>
    <w:rsid w:val="005F1C8D"/>
    <w:pPr>
      <w:bidi/>
      <w:spacing w:after="160" w:line="259" w:lineRule="auto"/>
    </w:pPr>
  </w:style>
  <w:style w:type="paragraph" w:customStyle="1" w:styleId="BA71EA24FD0B4C98BBA8E6142560601B">
    <w:name w:val="BA71EA24FD0B4C98BBA8E6142560601B"/>
    <w:rsid w:val="005F1C8D"/>
    <w:pPr>
      <w:bidi/>
      <w:spacing w:after="160" w:line="259" w:lineRule="auto"/>
    </w:pPr>
  </w:style>
  <w:style w:type="paragraph" w:customStyle="1" w:styleId="7A7084BED64A463FA41F4F5E0FC692C8">
    <w:name w:val="7A7084BED64A463FA41F4F5E0FC692C8"/>
    <w:rsid w:val="005F1C8D"/>
    <w:pPr>
      <w:bidi/>
      <w:spacing w:after="160" w:line="259" w:lineRule="auto"/>
    </w:pPr>
  </w:style>
  <w:style w:type="paragraph" w:customStyle="1" w:styleId="468C623C90F2404FB0842275BB935BA3">
    <w:name w:val="468C623C90F2404FB0842275BB935BA3"/>
    <w:rsid w:val="005F1C8D"/>
    <w:pPr>
      <w:bidi/>
      <w:spacing w:after="160" w:line="259" w:lineRule="auto"/>
    </w:pPr>
  </w:style>
  <w:style w:type="paragraph" w:customStyle="1" w:styleId="D5F68AAFB16C4695ACB5E782F0E5EC2B">
    <w:name w:val="D5F68AAFB16C4695ACB5E782F0E5EC2B"/>
    <w:rsid w:val="005F1C8D"/>
    <w:pPr>
      <w:bidi/>
      <w:spacing w:after="160" w:line="259" w:lineRule="auto"/>
    </w:pPr>
  </w:style>
  <w:style w:type="paragraph" w:customStyle="1" w:styleId="C4BA336785714765B3F6D92DFA64251E">
    <w:name w:val="C4BA336785714765B3F6D92DFA64251E"/>
    <w:rsid w:val="005F1C8D"/>
    <w:pPr>
      <w:bidi/>
      <w:spacing w:after="160" w:line="259" w:lineRule="auto"/>
    </w:pPr>
  </w:style>
  <w:style w:type="paragraph" w:customStyle="1" w:styleId="0707E533FBFF4CEC8C847BAE588E8013">
    <w:name w:val="0707E533FBFF4CEC8C847BAE588E8013"/>
    <w:rsid w:val="005F1C8D"/>
    <w:pPr>
      <w:bidi/>
      <w:spacing w:after="160" w:line="259" w:lineRule="auto"/>
    </w:pPr>
  </w:style>
  <w:style w:type="paragraph" w:customStyle="1" w:styleId="E7107AEA636A46B09EF0E82E73BAC570">
    <w:name w:val="E7107AEA636A46B09EF0E82E73BAC570"/>
    <w:rsid w:val="005F1C8D"/>
    <w:pPr>
      <w:bidi/>
      <w:spacing w:after="160" w:line="259" w:lineRule="auto"/>
    </w:pPr>
  </w:style>
  <w:style w:type="paragraph" w:customStyle="1" w:styleId="0D104245A24547CFB3F2C5EF569F3110">
    <w:name w:val="0D104245A24547CFB3F2C5EF569F3110"/>
    <w:rsid w:val="005F1C8D"/>
    <w:pPr>
      <w:bidi/>
      <w:spacing w:after="160" w:line="259" w:lineRule="auto"/>
    </w:pPr>
  </w:style>
  <w:style w:type="paragraph" w:customStyle="1" w:styleId="34AFA2AA815C4606B29D8328193A9FAF">
    <w:name w:val="34AFA2AA815C4606B29D8328193A9FAF"/>
    <w:rsid w:val="005F1C8D"/>
    <w:pPr>
      <w:bidi/>
      <w:spacing w:after="160" w:line="259" w:lineRule="auto"/>
    </w:pPr>
  </w:style>
  <w:style w:type="paragraph" w:customStyle="1" w:styleId="1D7E9C58700943E698ACAD7A313FE530">
    <w:name w:val="1D7E9C58700943E698ACAD7A313FE530"/>
    <w:rsid w:val="005F1C8D"/>
    <w:pPr>
      <w:bidi/>
      <w:spacing w:after="160" w:line="259" w:lineRule="auto"/>
    </w:pPr>
  </w:style>
  <w:style w:type="paragraph" w:customStyle="1" w:styleId="7251215E5F6F4C56AB5BF84FF59EDEC4">
    <w:name w:val="7251215E5F6F4C56AB5BF84FF59EDEC4"/>
    <w:rsid w:val="005F1C8D"/>
    <w:pPr>
      <w:bidi/>
      <w:spacing w:after="160" w:line="259" w:lineRule="auto"/>
    </w:pPr>
  </w:style>
  <w:style w:type="paragraph" w:customStyle="1" w:styleId="E8A2AD312CFC4F0B90437C6C22661183">
    <w:name w:val="E8A2AD312CFC4F0B90437C6C22661183"/>
    <w:rsid w:val="005F1C8D"/>
    <w:pPr>
      <w:bidi/>
      <w:spacing w:after="160" w:line="259" w:lineRule="auto"/>
    </w:pPr>
  </w:style>
  <w:style w:type="paragraph" w:customStyle="1" w:styleId="047B9D7C22A446E3961C92C7453A032E">
    <w:name w:val="047B9D7C22A446E3961C92C7453A032E"/>
    <w:rsid w:val="005F1C8D"/>
    <w:pPr>
      <w:bidi/>
      <w:spacing w:after="160" w:line="259" w:lineRule="auto"/>
    </w:pPr>
  </w:style>
  <w:style w:type="paragraph" w:customStyle="1" w:styleId="E5AB823215EF42438B480D8ABFE9AEA1">
    <w:name w:val="E5AB823215EF42438B480D8ABFE9AEA1"/>
    <w:rsid w:val="005F1C8D"/>
    <w:pPr>
      <w:bidi/>
      <w:spacing w:after="160" w:line="259" w:lineRule="auto"/>
    </w:pPr>
  </w:style>
  <w:style w:type="paragraph" w:customStyle="1" w:styleId="E0402C61FEF8403A9E2A306D263F1547">
    <w:name w:val="E0402C61FEF8403A9E2A306D263F1547"/>
    <w:rsid w:val="005F1C8D"/>
    <w:pPr>
      <w:bidi/>
      <w:spacing w:after="160" w:line="259" w:lineRule="auto"/>
    </w:pPr>
  </w:style>
  <w:style w:type="paragraph" w:customStyle="1" w:styleId="965702558FC24801A9B310052FBDF624">
    <w:name w:val="965702558FC24801A9B310052FBDF624"/>
    <w:rsid w:val="005F1C8D"/>
    <w:pPr>
      <w:bidi/>
      <w:spacing w:after="160" w:line="259" w:lineRule="auto"/>
    </w:pPr>
  </w:style>
  <w:style w:type="paragraph" w:customStyle="1" w:styleId="A31CB7A2DB394CEAB6726F70B23689EA">
    <w:name w:val="A31CB7A2DB394CEAB6726F70B23689EA"/>
    <w:rsid w:val="005F1C8D"/>
    <w:pPr>
      <w:bidi/>
      <w:spacing w:after="160" w:line="259" w:lineRule="auto"/>
    </w:pPr>
  </w:style>
  <w:style w:type="paragraph" w:customStyle="1" w:styleId="C0956EC9ECC14FB88B44ABFE3FB9987D">
    <w:name w:val="C0956EC9ECC14FB88B44ABFE3FB9987D"/>
    <w:rsid w:val="005F1C8D"/>
    <w:pPr>
      <w:bidi/>
      <w:spacing w:after="160" w:line="259" w:lineRule="auto"/>
    </w:pPr>
  </w:style>
  <w:style w:type="paragraph" w:customStyle="1" w:styleId="5C75CD899DBA40E5ADA9E84C158720EE">
    <w:name w:val="5C75CD899DBA40E5ADA9E84C158720EE"/>
    <w:rsid w:val="005F1C8D"/>
    <w:pPr>
      <w:bidi/>
      <w:spacing w:after="160" w:line="259" w:lineRule="auto"/>
    </w:pPr>
  </w:style>
  <w:style w:type="paragraph" w:customStyle="1" w:styleId="339160BEB6814720AF40E4FBE094DF4E">
    <w:name w:val="339160BEB6814720AF40E4FBE094DF4E"/>
    <w:rsid w:val="005F1C8D"/>
    <w:pPr>
      <w:bidi/>
      <w:spacing w:after="160" w:line="259" w:lineRule="auto"/>
    </w:pPr>
  </w:style>
  <w:style w:type="paragraph" w:customStyle="1" w:styleId="7CDE174BBE6B474BB7C0E3EC7A1DB8EC">
    <w:name w:val="7CDE174BBE6B474BB7C0E3EC7A1DB8EC"/>
    <w:rsid w:val="005F1C8D"/>
    <w:pPr>
      <w:bidi/>
      <w:spacing w:after="160" w:line="259" w:lineRule="auto"/>
    </w:pPr>
  </w:style>
  <w:style w:type="paragraph" w:customStyle="1" w:styleId="2610D7B825F6491EA68CC7B0FF656C5E">
    <w:name w:val="2610D7B825F6491EA68CC7B0FF656C5E"/>
    <w:rsid w:val="005F1C8D"/>
    <w:pPr>
      <w:bidi/>
      <w:spacing w:after="160" w:line="259" w:lineRule="auto"/>
    </w:pPr>
  </w:style>
  <w:style w:type="paragraph" w:customStyle="1" w:styleId="048968D56E824276B40D45C9E497E7CB">
    <w:name w:val="048968D56E824276B40D45C9E497E7CB"/>
    <w:rsid w:val="005F1C8D"/>
    <w:pPr>
      <w:bidi/>
      <w:spacing w:after="160" w:line="259" w:lineRule="auto"/>
    </w:pPr>
  </w:style>
  <w:style w:type="paragraph" w:customStyle="1" w:styleId="71B30CB7E85E4ABF9CD3B46307F9A352">
    <w:name w:val="71B30CB7E85E4ABF9CD3B46307F9A352"/>
    <w:rsid w:val="005F1C8D"/>
    <w:pPr>
      <w:bidi/>
      <w:spacing w:after="160" w:line="259" w:lineRule="auto"/>
    </w:pPr>
  </w:style>
  <w:style w:type="paragraph" w:customStyle="1" w:styleId="6E9B64DE82404F9B827427D9CBC581D61">
    <w:name w:val="6E9B64DE82404F9B827427D9CBC581D61"/>
    <w:rsid w:val="001437D3"/>
    <w:pPr>
      <w:bidi/>
      <w:spacing w:after="0" w:line="240" w:lineRule="auto"/>
    </w:pPr>
    <w:rPr>
      <w:rFonts w:ascii="Times New Roman" w:eastAsia="Times New Roman" w:hAnsi="Times New Roman" w:cs="David"/>
      <w:noProof/>
      <w:sz w:val="24"/>
      <w:szCs w:val="24"/>
    </w:rPr>
  </w:style>
  <w:style w:type="paragraph" w:customStyle="1" w:styleId="4975FDB7C9824906A8EDDDC584D8F3331">
    <w:name w:val="4975FDB7C9824906A8EDDDC584D8F3331"/>
    <w:rsid w:val="001437D3"/>
    <w:pPr>
      <w:bidi/>
      <w:spacing w:after="0" w:line="240" w:lineRule="auto"/>
    </w:pPr>
    <w:rPr>
      <w:rFonts w:ascii="Times New Roman" w:eastAsia="Times New Roman" w:hAnsi="Times New Roman" w:cs="David"/>
      <w:noProof/>
      <w:sz w:val="24"/>
      <w:szCs w:val="24"/>
    </w:rPr>
  </w:style>
  <w:style w:type="paragraph" w:customStyle="1" w:styleId="A31CB7A2DB394CEAB6726F70B23689EA1">
    <w:name w:val="A31CB7A2DB394CEAB6726F70B23689EA1"/>
    <w:rsid w:val="001437D3"/>
    <w:pPr>
      <w:bidi/>
      <w:spacing w:after="0" w:line="240" w:lineRule="auto"/>
    </w:pPr>
    <w:rPr>
      <w:rFonts w:ascii="Times New Roman" w:eastAsia="Times New Roman" w:hAnsi="Times New Roman" w:cs="David"/>
      <w:noProof/>
      <w:sz w:val="24"/>
      <w:szCs w:val="24"/>
    </w:rPr>
  </w:style>
  <w:style w:type="paragraph" w:customStyle="1" w:styleId="5C75CD899DBA40E5ADA9E84C158720EE1">
    <w:name w:val="5C75CD899DBA40E5ADA9E84C158720EE1"/>
    <w:rsid w:val="001437D3"/>
    <w:pPr>
      <w:bidi/>
      <w:spacing w:after="0" w:line="240" w:lineRule="auto"/>
    </w:pPr>
    <w:rPr>
      <w:rFonts w:ascii="Times New Roman" w:eastAsia="Times New Roman" w:hAnsi="Times New Roman" w:cs="David"/>
      <w:noProof/>
      <w:sz w:val="24"/>
      <w:szCs w:val="24"/>
    </w:rPr>
  </w:style>
  <w:style w:type="paragraph" w:customStyle="1" w:styleId="7CDE174BBE6B474BB7C0E3EC7A1DB8EC1">
    <w:name w:val="7CDE174BBE6B474BB7C0E3EC7A1DB8EC1"/>
    <w:rsid w:val="001437D3"/>
    <w:pPr>
      <w:bidi/>
      <w:spacing w:after="0" w:line="240" w:lineRule="auto"/>
    </w:pPr>
    <w:rPr>
      <w:rFonts w:ascii="Times New Roman" w:eastAsia="Times New Roman" w:hAnsi="Times New Roman" w:cs="David"/>
      <w:noProof/>
      <w:sz w:val="24"/>
      <w:szCs w:val="24"/>
    </w:rPr>
  </w:style>
  <w:style w:type="paragraph" w:customStyle="1" w:styleId="2610D7B825F6491EA68CC7B0FF656C5E1">
    <w:name w:val="2610D7B825F6491EA68CC7B0FF656C5E1"/>
    <w:rsid w:val="001437D3"/>
    <w:pPr>
      <w:bidi/>
      <w:spacing w:after="0" w:line="240" w:lineRule="auto"/>
    </w:pPr>
    <w:rPr>
      <w:rFonts w:ascii="Times New Roman" w:eastAsia="Times New Roman" w:hAnsi="Times New Roman" w:cs="David"/>
      <w:noProof/>
      <w:sz w:val="24"/>
      <w:szCs w:val="24"/>
    </w:rPr>
  </w:style>
  <w:style w:type="paragraph" w:customStyle="1" w:styleId="048968D56E824276B40D45C9E497E7CB1">
    <w:name w:val="048968D56E824276B40D45C9E497E7CB1"/>
    <w:rsid w:val="001437D3"/>
    <w:pPr>
      <w:bidi/>
      <w:spacing w:after="0" w:line="240" w:lineRule="auto"/>
    </w:pPr>
    <w:rPr>
      <w:rFonts w:ascii="Times New Roman" w:eastAsia="Times New Roman" w:hAnsi="Times New Roman" w:cs="David"/>
      <w:noProof/>
      <w:sz w:val="24"/>
      <w:szCs w:val="24"/>
    </w:rPr>
  </w:style>
  <w:style w:type="paragraph" w:customStyle="1" w:styleId="71B30CB7E85E4ABF9CD3B46307F9A3521">
    <w:name w:val="71B30CB7E85E4ABF9CD3B46307F9A3521"/>
    <w:rsid w:val="001437D3"/>
    <w:pPr>
      <w:bidi/>
      <w:spacing w:after="0" w:line="240" w:lineRule="auto"/>
    </w:pPr>
    <w:rPr>
      <w:rFonts w:ascii="Times New Roman" w:eastAsia="Times New Roman" w:hAnsi="Times New Roman" w:cs="David"/>
      <w:noProof/>
      <w:sz w:val="24"/>
      <w:szCs w:val="24"/>
    </w:rPr>
  </w:style>
  <w:style w:type="paragraph" w:customStyle="1" w:styleId="E460D38E05664FF79D4EFF282EF8EC9937">
    <w:name w:val="E460D38E05664FF79D4EFF282EF8EC9937"/>
    <w:rsid w:val="001437D3"/>
    <w:pPr>
      <w:bidi/>
      <w:spacing w:after="0" w:line="240" w:lineRule="auto"/>
    </w:pPr>
    <w:rPr>
      <w:rFonts w:ascii="Times New Roman" w:eastAsia="Times New Roman" w:hAnsi="Times New Roman" w:cs="David"/>
      <w:noProof/>
      <w:sz w:val="24"/>
      <w:szCs w:val="24"/>
    </w:rPr>
  </w:style>
  <w:style w:type="paragraph" w:customStyle="1" w:styleId="6E9B64DE82404F9B827427D9CBC581D62">
    <w:name w:val="6E9B64DE82404F9B827427D9CBC581D62"/>
    <w:rsid w:val="00837871"/>
    <w:pPr>
      <w:bidi/>
      <w:spacing w:after="0" w:line="240" w:lineRule="auto"/>
    </w:pPr>
    <w:rPr>
      <w:rFonts w:ascii="Times New Roman" w:eastAsia="Times New Roman" w:hAnsi="Times New Roman" w:cs="David"/>
      <w:noProof/>
      <w:sz w:val="24"/>
      <w:szCs w:val="24"/>
    </w:rPr>
  </w:style>
  <w:style w:type="paragraph" w:customStyle="1" w:styleId="4975FDB7C9824906A8EDDDC584D8F3332">
    <w:name w:val="4975FDB7C9824906A8EDDDC584D8F3332"/>
    <w:rsid w:val="00837871"/>
    <w:pPr>
      <w:bidi/>
      <w:spacing w:after="0" w:line="240" w:lineRule="auto"/>
    </w:pPr>
    <w:rPr>
      <w:rFonts w:ascii="Times New Roman" w:eastAsia="Times New Roman" w:hAnsi="Times New Roman" w:cs="David"/>
      <w:noProof/>
      <w:sz w:val="24"/>
      <w:szCs w:val="24"/>
    </w:rPr>
  </w:style>
  <w:style w:type="paragraph" w:customStyle="1" w:styleId="A31CB7A2DB394CEAB6726F70B23689EA2">
    <w:name w:val="A31CB7A2DB394CEAB6726F70B23689EA2"/>
    <w:rsid w:val="00837871"/>
    <w:pPr>
      <w:bidi/>
      <w:spacing w:after="0" w:line="240" w:lineRule="auto"/>
    </w:pPr>
    <w:rPr>
      <w:rFonts w:ascii="Times New Roman" w:eastAsia="Times New Roman" w:hAnsi="Times New Roman" w:cs="David"/>
      <w:noProof/>
      <w:sz w:val="24"/>
      <w:szCs w:val="24"/>
    </w:rPr>
  </w:style>
  <w:style w:type="paragraph" w:customStyle="1" w:styleId="5C75CD899DBA40E5ADA9E84C158720EE2">
    <w:name w:val="5C75CD899DBA40E5ADA9E84C158720EE2"/>
    <w:rsid w:val="00837871"/>
    <w:pPr>
      <w:bidi/>
      <w:spacing w:after="0" w:line="240" w:lineRule="auto"/>
    </w:pPr>
    <w:rPr>
      <w:rFonts w:ascii="Times New Roman" w:eastAsia="Times New Roman" w:hAnsi="Times New Roman" w:cs="David"/>
      <w:noProof/>
      <w:sz w:val="24"/>
      <w:szCs w:val="24"/>
    </w:rPr>
  </w:style>
  <w:style w:type="paragraph" w:customStyle="1" w:styleId="7CDE174BBE6B474BB7C0E3EC7A1DB8EC2">
    <w:name w:val="7CDE174BBE6B474BB7C0E3EC7A1DB8EC2"/>
    <w:rsid w:val="00837871"/>
    <w:pPr>
      <w:bidi/>
      <w:spacing w:after="0" w:line="240" w:lineRule="auto"/>
    </w:pPr>
    <w:rPr>
      <w:rFonts w:ascii="Times New Roman" w:eastAsia="Times New Roman" w:hAnsi="Times New Roman" w:cs="David"/>
      <w:noProof/>
      <w:sz w:val="24"/>
      <w:szCs w:val="24"/>
    </w:rPr>
  </w:style>
  <w:style w:type="paragraph" w:customStyle="1" w:styleId="2610D7B825F6491EA68CC7B0FF656C5E2">
    <w:name w:val="2610D7B825F6491EA68CC7B0FF656C5E2"/>
    <w:rsid w:val="00837871"/>
    <w:pPr>
      <w:bidi/>
      <w:spacing w:after="0" w:line="240" w:lineRule="auto"/>
    </w:pPr>
    <w:rPr>
      <w:rFonts w:ascii="Times New Roman" w:eastAsia="Times New Roman" w:hAnsi="Times New Roman" w:cs="David"/>
      <w:noProof/>
      <w:sz w:val="24"/>
      <w:szCs w:val="24"/>
    </w:rPr>
  </w:style>
  <w:style w:type="paragraph" w:customStyle="1" w:styleId="048968D56E824276B40D45C9E497E7CB2">
    <w:name w:val="048968D56E824276B40D45C9E497E7CB2"/>
    <w:rsid w:val="00837871"/>
    <w:pPr>
      <w:bidi/>
      <w:spacing w:after="0" w:line="240" w:lineRule="auto"/>
    </w:pPr>
    <w:rPr>
      <w:rFonts w:ascii="Times New Roman" w:eastAsia="Times New Roman" w:hAnsi="Times New Roman" w:cs="David"/>
      <w:noProof/>
      <w:sz w:val="24"/>
      <w:szCs w:val="24"/>
    </w:rPr>
  </w:style>
  <w:style w:type="paragraph" w:customStyle="1" w:styleId="71B30CB7E85E4ABF9CD3B46307F9A3522">
    <w:name w:val="71B30CB7E85E4ABF9CD3B46307F9A3522"/>
    <w:rsid w:val="00837871"/>
    <w:pPr>
      <w:bidi/>
      <w:spacing w:after="0" w:line="240" w:lineRule="auto"/>
    </w:pPr>
    <w:rPr>
      <w:rFonts w:ascii="Times New Roman" w:eastAsia="Times New Roman" w:hAnsi="Times New Roman" w:cs="David"/>
      <w:noProof/>
      <w:sz w:val="24"/>
      <w:szCs w:val="24"/>
    </w:rPr>
  </w:style>
  <w:style w:type="paragraph" w:customStyle="1" w:styleId="E460D38E05664FF79D4EFF282EF8EC9938">
    <w:name w:val="E460D38E05664FF79D4EFF282EF8EC9938"/>
    <w:rsid w:val="0083787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5378</Words>
  <Characters>26892</Characters>
  <Application>Microsoft Office Word</Application>
  <DocSecurity>4</DocSecurity>
  <Lines>224</Lines>
  <Paragraphs>64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2024-12-30T12:25:00Z</cp:lastPrinted>
  <dcterms:created xsi:type="dcterms:W3CDTF">2024-12-31T11:24:00Z</dcterms:created>
  <dcterms:modified xsi:type="dcterms:W3CDTF">2024-12-31T11:24:00Z</dcterms:modified>
</cp:coreProperties>
</file>